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2113" w14:textId="77777777" w:rsidR="00B4514E" w:rsidRPr="00CA7EFA" w:rsidRDefault="00C66A0F" w:rsidP="00B4514E">
      <w:pPr>
        <w:rPr>
          <w:b/>
          <w:sz w:val="28"/>
          <w:szCs w:val="28"/>
          <w:lang w:val="en-GB"/>
        </w:rPr>
      </w:pPr>
      <w:bookmarkStart w:id="0" w:name="_GoBack"/>
      <w:bookmarkEnd w:id="0"/>
      <w:r>
        <w:rPr>
          <w:b/>
          <w:sz w:val="28"/>
          <w:szCs w:val="28"/>
          <w:lang w:val="en-GB"/>
        </w:rPr>
        <w:t>FBT 2016: The top 5</w:t>
      </w:r>
      <w:r w:rsidR="00B4514E" w:rsidRPr="00CA7EFA">
        <w:rPr>
          <w:b/>
          <w:sz w:val="28"/>
          <w:szCs w:val="28"/>
          <w:lang w:val="en-GB"/>
        </w:rPr>
        <w:t xml:space="preserve"> things every business needs to know</w:t>
      </w:r>
    </w:p>
    <w:p w14:paraId="593296D4" w14:textId="77777777" w:rsidR="00F2478B" w:rsidRPr="00CA7EFA" w:rsidRDefault="00F2478B" w:rsidP="00B4514E">
      <w:pPr>
        <w:rPr>
          <w:lang w:val="en-GB"/>
        </w:rPr>
      </w:pPr>
    </w:p>
    <w:p w14:paraId="04D118B3" w14:textId="77777777" w:rsidR="00FC7708" w:rsidRPr="00CA7EFA" w:rsidRDefault="00F2478B" w:rsidP="00B4514E">
      <w:pPr>
        <w:rPr>
          <w:lang w:val="en-GB"/>
        </w:rPr>
      </w:pPr>
      <w:r w:rsidRPr="00CA7EFA">
        <w:rPr>
          <w:lang w:val="en-GB"/>
        </w:rPr>
        <w:t>If you</w:t>
      </w:r>
      <w:r w:rsidR="00FC7708" w:rsidRPr="00CA7EFA">
        <w:rPr>
          <w:lang w:val="en-GB"/>
        </w:rPr>
        <w:t>r business is in the hospital</w:t>
      </w:r>
      <w:r w:rsidR="00F527BB" w:rsidRPr="00CA7EFA">
        <w:rPr>
          <w:lang w:val="en-GB"/>
        </w:rPr>
        <w:t>/</w:t>
      </w:r>
      <w:r w:rsidR="00A2016D">
        <w:rPr>
          <w:lang w:val="en-GB"/>
        </w:rPr>
        <w:t xml:space="preserve">non-profit sector </w:t>
      </w:r>
      <w:r w:rsidR="00F527BB" w:rsidRPr="00CA7EFA">
        <w:rPr>
          <w:lang w:val="en-GB"/>
        </w:rPr>
        <w:t>and use</w:t>
      </w:r>
      <w:r w:rsidR="00E03E34">
        <w:rPr>
          <w:lang w:val="en-GB"/>
        </w:rPr>
        <w:t>s</w:t>
      </w:r>
      <w:r w:rsidR="00FC7708" w:rsidRPr="00CA7EFA">
        <w:rPr>
          <w:lang w:val="en-GB"/>
        </w:rPr>
        <w:t xml:space="preserve"> salary packaging</w:t>
      </w:r>
      <w:r w:rsidR="00F527BB" w:rsidRPr="00CA7EFA">
        <w:rPr>
          <w:lang w:val="en-GB"/>
        </w:rPr>
        <w:t xml:space="preserve"> for team members</w:t>
      </w:r>
      <w:r w:rsidR="00FC7708" w:rsidRPr="00CA7EFA">
        <w:rPr>
          <w:lang w:val="en-GB"/>
        </w:rPr>
        <w:t xml:space="preserve">, </w:t>
      </w:r>
      <w:r w:rsidR="00697FA2">
        <w:rPr>
          <w:lang w:val="en-GB"/>
        </w:rPr>
        <w:t>is</w:t>
      </w:r>
      <w:r w:rsidR="00FC7708" w:rsidRPr="00CA7EFA">
        <w:rPr>
          <w:lang w:val="en-GB"/>
        </w:rPr>
        <w:t xml:space="preserve"> a small business, or provide</w:t>
      </w:r>
      <w:r w:rsidR="00697FA2">
        <w:rPr>
          <w:lang w:val="en-GB"/>
        </w:rPr>
        <w:t>s</w:t>
      </w:r>
      <w:r w:rsidR="00FC7708" w:rsidRPr="00CA7EFA">
        <w:rPr>
          <w:lang w:val="en-GB"/>
        </w:rPr>
        <w:t xml:space="preserve"> team members with a gym or space to do yoga, then there are a few things you need to know beyond the basic </w:t>
      </w:r>
      <w:r w:rsidR="00697FA2" w:rsidRPr="00CA7EFA">
        <w:rPr>
          <w:lang w:val="en-GB"/>
        </w:rPr>
        <w:t xml:space="preserve">Fringe Benefits Tax </w:t>
      </w:r>
      <w:r w:rsidR="00697FA2">
        <w:rPr>
          <w:lang w:val="en-GB"/>
        </w:rPr>
        <w:t>(</w:t>
      </w:r>
      <w:r w:rsidR="00FC7708" w:rsidRPr="00CA7EFA">
        <w:rPr>
          <w:lang w:val="en-GB"/>
        </w:rPr>
        <w:t>FBT</w:t>
      </w:r>
      <w:r w:rsidR="00697FA2">
        <w:rPr>
          <w:lang w:val="en-GB"/>
        </w:rPr>
        <w:t>)</w:t>
      </w:r>
      <w:r w:rsidR="00FC7708" w:rsidRPr="00CA7EFA">
        <w:rPr>
          <w:lang w:val="en-GB"/>
        </w:rPr>
        <w:t xml:space="preserve"> changes when the </w:t>
      </w:r>
      <w:r w:rsidR="00A2016D">
        <w:rPr>
          <w:lang w:val="en-GB"/>
        </w:rPr>
        <w:t xml:space="preserve">new </w:t>
      </w:r>
      <w:r w:rsidR="00FC7708" w:rsidRPr="00CA7EFA">
        <w:rPr>
          <w:lang w:val="en-GB"/>
        </w:rPr>
        <w:t>FBT year starts on 1 April 2016.</w:t>
      </w:r>
    </w:p>
    <w:p w14:paraId="64AD465E" w14:textId="77777777" w:rsidR="00465D61" w:rsidRPr="00CA7EFA" w:rsidRDefault="00465D61" w:rsidP="00B4514E">
      <w:pPr>
        <w:rPr>
          <w:lang w:val="en-GB"/>
        </w:rPr>
      </w:pPr>
    </w:p>
    <w:p w14:paraId="66717EF4" w14:textId="77777777" w:rsidR="00465D61" w:rsidRPr="00CA7EFA" w:rsidRDefault="00602341" w:rsidP="00B4514E">
      <w:pPr>
        <w:rPr>
          <w:b/>
          <w:lang w:val="en-GB"/>
        </w:rPr>
      </w:pPr>
      <w:r w:rsidRPr="00CA7EFA">
        <w:rPr>
          <w:b/>
          <w:lang w:val="en-GB"/>
        </w:rPr>
        <w:t xml:space="preserve">1. </w:t>
      </w:r>
      <w:r w:rsidR="00EF2140" w:rsidRPr="00CA7EFA">
        <w:rPr>
          <w:b/>
          <w:lang w:val="en-GB"/>
        </w:rPr>
        <w:t>You</w:t>
      </w:r>
      <w:r w:rsidR="00D2492A">
        <w:rPr>
          <w:b/>
          <w:lang w:val="en-GB"/>
        </w:rPr>
        <w:t>r business</w:t>
      </w:r>
      <w:r w:rsidR="00EF2140" w:rsidRPr="00CA7EFA">
        <w:rPr>
          <w:b/>
          <w:lang w:val="en-GB"/>
        </w:rPr>
        <w:t xml:space="preserve"> will pay more FBT</w:t>
      </w:r>
    </w:p>
    <w:p w14:paraId="2B204BAE" w14:textId="77777777" w:rsidR="00465D61" w:rsidRPr="00CA7EFA" w:rsidRDefault="00465D61" w:rsidP="00B4514E">
      <w:pPr>
        <w:rPr>
          <w:lang w:val="en-GB"/>
        </w:rPr>
      </w:pPr>
      <w:r w:rsidRPr="00CA7EFA">
        <w:rPr>
          <w:lang w:val="en-GB"/>
        </w:rPr>
        <w:t>The FBT rate is current</w:t>
      </w:r>
      <w:r w:rsidR="0032375D" w:rsidRPr="00CA7EFA">
        <w:rPr>
          <w:lang w:val="en-GB"/>
        </w:rPr>
        <w:t xml:space="preserve">ly 49%.  The rate increased from 47% on </w:t>
      </w:r>
      <w:r w:rsidRPr="00CA7EFA">
        <w:rPr>
          <w:lang w:val="en-GB"/>
        </w:rPr>
        <w:t xml:space="preserve">1 </w:t>
      </w:r>
      <w:r w:rsidR="0032375D" w:rsidRPr="00CA7EFA">
        <w:rPr>
          <w:lang w:val="en-GB"/>
        </w:rPr>
        <w:t>April</w:t>
      </w:r>
      <w:r w:rsidRPr="00CA7EFA">
        <w:rPr>
          <w:lang w:val="en-GB"/>
        </w:rPr>
        <w:t xml:space="preserve"> 2015 </w:t>
      </w:r>
      <w:r w:rsidR="0032375D" w:rsidRPr="00CA7EFA">
        <w:rPr>
          <w:lang w:val="en-GB"/>
        </w:rPr>
        <w:t xml:space="preserve">in conjunction with the introduction of the </w:t>
      </w:r>
      <w:r w:rsidRPr="00CA7EFA">
        <w:rPr>
          <w:lang w:val="en-GB"/>
        </w:rPr>
        <w:t>2% debt tax on high income earners (Temporary Budget Repair Levy).</w:t>
      </w:r>
      <w:r w:rsidR="00EF2140" w:rsidRPr="00CA7EFA">
        <w:rPr>
          <w:lang w:val="en-GB"/>
        </w:rPr>
        <w:t xml:space="preserve"> </w:t>
      </w:r>
      <w:r w:rsidR="0032375D" w:rsidRPr="00CA7EFA">
        <w:rPr>
          <w:lang w:val="en-GB"/>
        </w:rPr>
        <w:t xml:space="preserve"> </w:t>
      </w:r>
      <w:r w:rsidR="00FC7708" w:rsidRPr="00CA7EFA">
        <w:rPr>
          <w:lang w:val="en-GB"/>
        </w:rPr>
        <w:t>The FBT year that just ended</w:t>
      </w:r>
      <w:r w:rsidR="00D56455" w:rsidRPr="00CA7EFA">
        <w:rPr>
          <w:lang w:val="en-GB"/>
        </w:rPr>
        <w:t xml:space="preserve"> is the first year at the higher </w:t>
      </w:r>
      <w:r w:rsidR="0032375D" w:rsidRPr="00CA7EFA">
        <w:rPr>
          <w:lang w:val="en-GB"/>
        </w:rPr>
        <w:t xml:space="preserve">tax </w:t>
      </w:r>
      <w:r w:rsidR="00D56455" w:rsidRPr="00CA7EFA">
        <w:rPr>
          <w:lang w:val="en-GB"/>
        </w:rPr>
        <w:t>rate</w:t>
      </w:r>
      <w:r w:rsidR="00AD5B8D" w:rsidRPr="00CA7EFA">
        <w:rPr>
          <w:lang w:val="en-GB"/>
        </w:rPr>
        <w:t xml:space="preserve"> which means if you</w:t>
      </w:r>
      <w:r w:rsidR="00697FA2">
        <w:rPr>
          <w:lang w:val="en-GB"/>
        </w:rPr>
        <w:t>r business has</w:t>
      </w:r>
      <w:r w:rsidR="00AD5B8D" w:rsidRPr="00CA7EFA">
        <w:rPr>
          <w:lang w:val="en-GB"/>
        </w:rPr>
        <w:t xml:space="preserve"> an FBT liability, </w:t>
      </w:r>
      <w:r w:rsidR="00697FA2">
        <w:rPr>
          <w:lang w:val="en-GB"/>
        </w:rPr>
        <w:t>it</w:t>
      </w:r>
      <w:r w:rsidR="00697FA2" w:rsidRPr="00CA7EFA">
        <w:rPr>
          <w:lang w:val="en-GB"/>
        </w:rPr>
        <w:t xml:space="preserve"> </w:t>
      </w:r>
      <w:r w:rsidR="00AD5B8D" w:rsidRPr="00CA7EFA">
        <w:rPr>
          <w:lang w:val="en-GB"/>
        </w:rPr>
        <w:t>will pay more tax</w:t>
      </w:r>
      <w:r w:rsidR="00D56455" w:rsidRPr="00CA7EFA">
        <w:rPr>
          <w:lang w:val="en-GB"/>
        </w:rPr>
        <w:t>.</w:t>
      </w:r>
    </w:p>
    <w:p w14:paraId="1104216A" w14:textId="77777777" w:rsidR="00EF2140" w:rsidRPr="00CA7EFA" w:rsidRDefault="00EF2140" w:rsidP="00B4514E">
      <w:pPr>
        <w:rPr>
          <w:lang w:val="en-GB"/>
        </w:rPr>
      </w:pPr>
    </w:p>
    <w:tbl>
      <w:tblPr>
        <w:tblW w:w="0" w:type="auto"/>
        <w:tblBorders>
          <w:top w:val="nil"/>
          <w:left w:val="nil"/>
          <w:right w:val="nil"/>
        </w:tblBorders>
        <w:tblLayout w:type="fixed"/>
        <w:tblLook w:val="0000" w:firstRow="0" w:lastRow="0" w:firstColumn="0" w:lastColumn="0" w:noHBand="0" w:noVBand="0"/>
      </w:tblPr>
      <w:tblGrid>
        <w:gridCol w:w="2802"/>
        <w:gridCol w:w="1996"/>
        <w:gridCol w:w="1996"/>
        <w:gridCol w:w="1996"/>
      </w:tblGrid>
      <w:tr w:rsidR="00EF2140" w:rsidRPr="00CA7EFA" w14:paraId="43AF2C53" w14:textId="77777777" w:rsidTr="0032375D">
        <w:tc>
          <w:tcPr>
            <w:tcW w:w="2802"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668292C2" w14:textId="77777777" w:rsidR="00EF2140" w:rsidRPr="00CA7EFA" w:rsidRDefault="00EF2140" w:rsidP="00D56455">
            <w:pPr>
              <w:rPr>
                <w:b/>
                <w:sz w:val="20"/>
                <w:szCs w:val="20"/>
                <w:lang w:val="en-GB"/>
              </w:rPr>
            </w:pPr>
            <w:r w:rsidRPr="00CA7EFA">
              <w:rPr>
                <w:b/>
                <w:sz w:val="20"/>
                <w:szCs w:val="20"/>
                <w:lang w:val="en-GB"/>
              </w:rPr>
              <w:t>FBT year</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A44FF9B" w14:textId="77777777" w:rsidR="00EF2140" w:rsidRPr="00CA7EFA" w:rsidRDefault="00EF2140" w:rsidP="00D56455">
            <w:pPr>
              <w:rPr>
                <w:b/>
                <w:sz w:val="20"/>
                <w:szCs w:val="20"/>
                <w:lang w:val="en-GB"/>
              </w:rPr>
            </w:pPr>
            <w:r w:rsidRPr="00CA7EFA">
              <w:rPr>
                <w:b/>
                <w:sz w:val="20"/>
                <w:szCs w:val="20"/>
                <w:lang w:val="en-GB"/>
              </w:rPr>
              <w:t>FBT rate</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040EC311" w14:textId="77777777" w:rsidR="00EF2140" w:rsidRPr="00CA7EFA" w:rsidRDefault="00EF2140" w:rsidP="00D56455">
            <w:pPr>
              <w:rPr>
                <w:b/>
                <w:sz w:val="20"/>
                <w:szCs w:val="20"/>
                <w:lang w:val="en-GB"/>
              </w:rPr>
            </w:pPr>
            <w:r w:rsidRPr="00CA7EFA">
              <w:rPr>
                <w:b/>
                <w:sz w:val="20"/>
                <w:szCs w:val="20"/>
                <w:lang w:val="en-GB"/>
              </w:rPr>
              <w:t>Type 1 gross up rate</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455E09EA" w14:textId="77777777" w:rsidR="00EF2140" w:rsidRPr="00CA7EFA" w:rsidRDefault="00EF2140" w:rsidP="00D56455">
            <w:pPr>
              <w:rPr>
                <w:b/>
                <w:sz w:val="20"/>
                <w:szCs w:val="20"/>
                <w:lang w:val="en-GB"/>
              </w:rPr>
            </w:pPr>
            <w:r w:rsidRPr="00CA7EFA">
              <w:rPr>
                <w:b/>
                <w:sz w:val="20"/>
                <w:szCs w:val="20"/>
                <w:lang w:val="en-GB"/>
              </w:rPr>
              <w:t>Type 2 gross up rate</w:t>
            </w:r>
          </w:p>
        </w:tc>
      </w:tr>
      <w:tr w:rsidR="00EF2140" w:rsidRPr="00CA7EFA" w14:paraId="01666B4B" w14:textId="77777777" w:rsidTr="0032375D">
        <w:tblPrEx>
          <w:tblBorders>
            <w:top w:val="none" w:sz="0" w:space="0" w:color="auto"/>
          </w:tblBorders>
        </w:tblPrEx>
        <w:tc>
          <w:tcPr>
            <w:tcW w:w="2802"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2444F95" w14:textId="77777777" w:rsidR="00EF2140" w:rsidRPr="00CA7EFA" w:rsidRDefault="00EF2140" w:rsidP="00D56455">
            <w:pPr>
              <w:rPr>
                <w:sz w:val="20"/>
                <w:szCs w:val="20"/>
                <w:lang w:val="en-GB"/>
              </w:rPr>
            </w:pPr>
            <w:r w:rsidRPr="00CA7EFA">
              <w:rPr>
                <w:sz w:val="20"/>
                <w:szCs w:val="20"/>
                <w:lang w:val="en-GB"/>
              </w:rPr>
              <w:t>1 April 2015 to 31 March 2017</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01ADE265" w14:textId="77777777" w:rsidR="00EF2140" w:rsidRPr="00CA7EFA" w:rsidRDefault="00EF2140" w:rsidP="00D56455">
            <w:pPr>
              <w:rPr>
                <w:sz w:val="20"/>
                <w:szCs w:val="20"/>
                <w:lang w:val="en-GB"/>
              </w:rPr>
            </w:pPr>
            <w:r w:rsidRPr="00CA7EFA">
              <w:rPr>
                <w:sz w:val="20"/>
                <w:szCs w:val="20"/>
                <w:lang w:val="en-GB"/>
              </w:rPr>
              <w:t>49%</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06D2F950" w14:textId="77777777" w:rsidR="00EF2140" w:rsidRPr="00CA7EFA" w:rsidRDefault="00EF2140" w:rsidP="00D56455">
            <w:pPr>
              <w:rPr>
                <w:sz w:val="20"/>
                <w:szCs w:val="20"/>
                <w:lang w:val="en-GB"/>
              </w:rPr>
            </w:pPr>
            <w:r w:rsidRPr="00CA7EFA">
              <w:rPr>
                <w:sz w:val="20"/>
                <w:szCs w:val="20"/>
                <w:lang w:val="en-GB"/>
              </w:rPr>
              <w:t>2.1463</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66B32384" w14:textId="77777777" w:rsidR="00EF2140" w:rsidRPr="00CA7EFA" w:rsidRDefault="00EF2140" w:rsidP="00D56455">
            <w:pPr>
              <w:rPr>
                <w:sz w:val="20"/>
                <w:szCs w:val="20"/>
                <w:lang w:val="en-GB"/>
              </w:rPr>
            </w:pPr>
            <w:r w:rsidRPr="00CA7EFA">
              <w:rPr>
                <w:sz w:val="20"/>
                <w:szCs w:val="20"/>
                <w:lang w:val="en-GB"/>
              </w:rPr>
              <w:t>1.9608</w:t>
            </w:r>
          </w:p>
        </w:tc>
      </w:tr>
      <w:tr w:rsidR="00EF2140" w:rsidRPr="00CA7EFA" w14:paraId="2E81FAFA" w14:textId="77777777" w:rsidTr="0032375D">
        <w:tc>
          <w:tcPr>
            <w:tcW w:w="2802"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512ED976" w14:textId="77777777" w:rsidR="00EF2140" w:rsidRPr="00CA7EFA" w:rsidRDefault="00EF2140" w:rsidP="00D56455">
            <w:pPr>
              <w:rPr>
                <w:sz w:val="20"/>
                <w:szCs w:val="20"/>
                <w:lang w:val="en-GB"/>
              </w:rPr>
            </w:pPr>
            <w:r w:rsidRPr="00CA7EFA">
              <w:rPr>
                <w:sz w:val="20"/>
                <w:szCs w:val="20"/>
                <w:lang w:val="en-GB"/>
              </w:rPr>
              <w:t>1 April 2017 onwards</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0D596D12" w14:textId="77777777" w:rsidR="00EF2140" w:rsidRPr="00CA7EFA" w:rsidRDefault="00EF2140" w:rsidP="00D56455">
            <w:pPr>
              <w:rPr>
                <w:sz w:val="20"/>
                <w:szCs w:val="20"/>
                <w:lang w:val="en-GB"/>
              </w:rPr>
            </w:pPr>
            <w:r w:rsidRPr="00CA7EFA">
              <w:rPr>
                <w:sz w:val="20"/>
                <w:szCs w:val="20"/>
                <w:lang w:val="en-GB"/>
              </w:rPr>
              <w:t>47%</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3ABA0B61" w14:textId="77777777" w:rsidR="00EF2140" w:rsidRPr="00CA7EFA" w:rsidRDefault="00EF2140" w:rsidP="00D56455">
            <w:pPr>
              <w:rPr>
                <w:sz w:val="20"/>
                <w:szCs w:val="20"/>
                <w:lang w:val="en-GB"/>
              </w:rPr>
            </w:pPr>
            <w:r w:rsidRPr="00CA7EFA">
              <w:rPr>
                <w:sz w:val="20"/>
                <w:szCs w:val="20"/>
                <w:lang w:val="en-GB"/>
              </w:rPr>
              <w:t>2.0802</w:t>
            </w:r>
          </w:p>
        </w:tc>
        <w:tc>
          <w:tcPr>
            <w:tcW w:w="1996"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14:paraId="0E5358CA" w14:textId="77777777" w:rsidR="00EF2140" w:rsidRPr="00CA7EFA" w:rsidRDefault="00EF2140" w:rsidP="00D56455">
            <w:pPr>
              <w:rPr>
                <w:sz w:val="20"/>
                <w:szCs w:val="20"/>
                <w:lang w:val="en-GB"/>
              </w:rPr>
            </w:pPr>
            <w:r w:rsidRPr="00CA7EFA">
              <w:rPr>
                <w:sz w:val="20"/>
                <w:szCs w:val="20"/>
                <w:lang w:val="en-GB"/>
              </w:rPr>
              <w:t>1.8868</w:t>
            </w:r>
          </w:p>
        </w:tc>
      </w:tr>
    </w:tbl>
    <w:p w14:paraId="4B860822" w14:textId="77777777" w:rsidR="00EF2140" w:rsidRPr="00CA7EFA" w:rsidRDefault="00EF2140" w:rsidP="00B4514E">
      <w:pPr>
        <w:rPr>
          <w:b/>
          <w:lang w:val="en-GB"/>
        </w:rPr>
      </w:pPr>
    </w:p>
    <w:p w14:paraId="6FF2ECD8" w14:textId="77777777" w:rsidR="00B4514E" w:rsidRPr="00CA7EFA" w:rsidRDefault="00D56455" w:rsidP="00B4514E">
      <w:pPr>
        <w:rPr>
          <w:lang w:val="en-GB"/>
        </w:rPr>
      </w:pPr>
      <w:r w:rsidRPr="00CA7EFA">
        <w:rPr>
          <w:lang w:val="en-GB"/>
        </w:rPr>
        <w:t>The FBT rate will stay at 49% until 31 March 2017</w:t>
      </w:r>
      <w:r w:rsidR="00AD5B8D" w:rsidRPr="00CA7EFA">
        <w:rPr>
          <w:lang w:val="en-GB"/>
        </w:rPr>
        <w:t xml:space="preserve"> when the </w:t>
      </w:r>
      <w:r w:rsidR="00A2016D">
        <w:rPr>
          <w:lang w:val="en-GB"/>
        </w:rPr>
        <w:t xml:space="preserve">impact of the </w:t>
      </w:r>
      <w:r w:rsidR="00AD5B8D" w:rsidRPr="00CA7EFA">
        <w:rPr>
          <w:lang w:val="en-GB"/>
        </w:rPr>
        <w:t>debt tax is scheduled to be removed</w:t>
      </w:r>
      <w:r w:rsidRPr="00CA7EFA">
        <w:rPr>
          <w:lang w:val="en-GB"/>
        </w:rPr>
        <w:t xml:space="preserve">.  </w:t>
      </w:r>
    </w:p>
    <w:p w14:paraId="55751B45" w14:textId="77777777" w:rsidR="00D56455" w:rsidRPr="00CA7EFA" w:rsidRDefault="00D56455" w:rsidP="00B4514E">
      <w:pPr>
        <w:rPr>
          <w:lang w:val="en-GB"/>
        </w:rPr>
      </w:pPr>
    </w:p>
    <w:p w14:paraId="08A40933" w14:textId="77777777" w:rsidR="00DA5A6E" w:rsidRPr="00CA7EFA" w:rsidRDefault="00DA5A6E" w:rsidP="00DA5A6E">
      <w:pPr>
        <w:rPr>
          <w:b/>
          <w:lang w:val="en-GB"/>
        </w:rPr>
      </w:pPr>
      <w:r w:rsidRPr="00CA7EFA">
        <w:rPr>
          <w:b/>
          <w:lang w:val="en-GB"/>
        </w:rPr>
        <w:t>2. Meal entertainment crackdown – medical professionals beware</w:t>
      </w:r>
    </w:p>
    <w:p w14:paraId="1801A8EB" w14:textId="77777777" w:rsidR="00FC7708" w:rsidRPr="00CA7EFA" w:rsidRDefault="00FC7708" w:rsidP="00FC7708">
      <w:pPr>
        <w:rPr>
          <w:lang w:val="en-GB"/>
        </w:rPr>
      </w:pPr>
      <w:r w:rsidRPr="00CA7EFA">
        <w:rPr>
          <w:lang w:val="en-GB"/>
        </w:rPr>
        <w:t xml:space="preserve">If your business is an FBT exempt entity (public and not-for-profit hospitals, public benevolent institutions, health promotion charities, public ambulance service) </w:t>
      </w:r>
      <w:r w:rsidR="00A2016D">
        <w:rPr>
          <w:lang w:val="en-GB"/>
        </w:rPr>
        <w:t xml:space="preserve">or qualifies for the FBT rebate </w:t>
      </w:r>
      <w:r w:rsidRPr="00CA7EFA">
        <w:rPr>
          <w:lang w:val="en-GB"/>
        </w:rPr>
        <w:t>then there are significant changes that come into play on 1 April you need to be across.</w:t>
      </w:r>
    </w:p>
    <w:p w14:paraId="12BA0C7A" w14:textId="77777777" w:rsidR="00FC7708" w:rsidRPr="00CA7EFA" w:rsidRDefault="00FC7708" w:rsidP="00FC7708">
      <w:pPr>
        <w:rPr>
          <w:lang w:val="en-GB"/>
        </w:rPr>
      </w:pPr>
    </w:p>
    <w:p w14:paraId="067D5447" w14:textId="77777777" w:rsidR="00FC7708" w:rsidRPr="00CA7EFA" w:rsidRDefault="00F527BB" w:rsidP="00F527BB">
      <w:pPr>
        <w:rPr>
          <w:lang w:val="en-GB"/>
        </w:rPr>
      </w:pPr>
      <w:r w:rsidRPr="00CA7EFA">
        <w:rPr>
          <w:lang w:val="en-GB"/>
        </w:rPr>
        <w:t xml:space="preserve">In the past, employees of FBT exempt </w:t>
      </w:r>
      <w:r w:rsidR="00A2016D">
        <w:rPr>
          <w:lang w:val="en-GB"/>
        </w:rPr>
        <w:t xml:space="preserve">and rebatable </w:t>
      </w:r>
      <w:r w:rsidRPr="00CA7EFA">
        <w:rPr>
          <w:lang w:val="en-GB"/>
        </w:rPr>
        <w:t xml:space="preserve">entities have been able to salary sacrifice </w:t>
      </w:r>
      <w:r w:rsidR="00A2016D">
        <w:rPr>
          <w:lang w:val="en-GB"/>
        </w:rPr>
        <w:t>an unlimited amount of meal entertainment expenses (eg, restaurant meals)</w:t>
      </w:r>
      <w:r w:rsidRPr="00CA7EFA">
        <w:rPr>
          <w:lang w:val="en-GB"/>
        </w:rPr>
        <w:t xml:space="preserve"> with no </w:t>
      </w:r>
      <w:r w:rsidR="00A2016D">
        <w:rPr>
          <w:lang w:val="en-GB"/>
        </w:rPr>
        <w:t>impact on their existing annual caps</w:t>
      </w:r>
      <w:r w:rsidRPr="00CA7EFA">
        <w:rPr>
          <w:lang w:val="en-GB"/>
        </w:rPr>
        <w:t xml:space="preserve">.  But, this will all change on 1 April 2016.  From this date, a separate single grossed-up cap of $5,000 for salary sacrificed meal entertainment benefits for employees of exempt and rebatable employers will apply.  </w:t>
      </w:r>
    </w:p>
    <w:p w14:paraId="1116E4DD" w14:textId="77777777" w:rsidR="00F527BB" w:rsidRPr="00CA7EFA" w:rsidRDefault="00F527BB" w:rsidP="00F527BB">
      <w:pPr>
        <w:rPr>
          <w:lang w:val="en-GB"/>
        </w:rPr>
      </w:pPr>
    </w:p>
    <w:p w14:paraId="3656A72F" w14:textId="77777777" w:rsidR="002E2723" w:rsidRPr="00CA7EFA" w:rsidRDefault="00F527BB" w:rsidP="002E2723">
      <w:pPr>
        <w:rPr>
          <w:lang w:val="en-GB"/>
        </w:rPr>
      </w:pPr>
      <w:r w:rsidRPr="00CA7EFA">
        <w:rPr>
          <w:lang w:val="en-GB"/>
        </w:rPr>
        <w:t xml:space="preserve">To give you some idea of the impact let’s look at the example of a doctor employed by a public </w:t>
      </w:r>
      <w:r w:rsidR="00A2016D">
        <w:rPr>
          <w:lang w:val="en-GB"/>
        </w:rPr>
        <w:t>hospital</w:t>
      </w:r>
      <w:r w:rsidRPr="00CA7EFA">
        <w:rPr>
          <w:lang w:val="en-GB"/>
        </w:rPr>
        <w:t xml:space="preserve"> who </w:t>
      </w:r>
      <w:r w:rsidR="002E2723" w:rsidRPr="00CA7EFA">
        <w:rPr>
          <w:lang w:val="en-GB"/>
        </w:rPr>
        <w:t xml:space="preserve">salary sacrifices $32,000 of meal entertainment benefits.  If the doctor salary sacrificed these benefits in the 2015-16 FBT year, the full $32,000 would be exempt from FBT </w:t>
      </w:r>
      <w:r w:rsidR="005D2B98" w:rsidRPr="00CA7EFA">
        <w:rPr>
          <w:lang w:val="en-GB"/>
        </w:rPr>
        <w:t>a</w:t>
      </w:r>
      <w:r w:rsidR="002E2723" w:rsidRPr="00CA7EFA">
        <w:rPr>
          <w:lang w:val="en-GB"/>
        </w:rPr>
        <w:t xml:space="preserve">nd he has nothing to report in his tax return.  If the doctor salary sacrifices these benefits in the 2016-17 FBT year, </w:t>
      </w:r>
      <w:r w:rsidR="00A2016D">
        <w:rPr>
          <w:lang w:val="en-GB"/>
        </w:rPr>
        <w:t xml:space="preserve">then </w:t>
      </w:r>
      <w:r w:rsidR="00697FA2">
        <w:rPr>
          <w:lang w:val="en-GB"/>
        </w:rPr>
        <w:t xml:space="preserve">only </w:t>
      </w:r>
      <w:r w:rsidR="00A2016D">
        <w:rPr>
          <w:lang w:val="en-GB"/>
        </w:rPr>
        <w:t xml:space="preserve">the first $5,000 will not count towards </w:t>
      </w:r>
      <w:r w:rsidR="00A07C3D">
        <w:rPr>
          <w:lang w:val="en-GB"/>
        </w:rPr>
        <w:t xml:space="preserve">his </w:t>
      </w:r>
      <w:r w:rsidR="00A2016D">
        <w:rPr>
          <w:lang w:val="en-GB"/>
        </w:rPr>
        <w:t xml:space="preserve">annual exemption cap. However, the balance will be taken into account in determining whether </w:t>
      </w:r>
      <w:r w:rsidR="00D2492A">
        <w:rPr>
          <w:lang w:val="en-GB"/>
        </w:rPr>
        <w:t>he</w:t>
      </w:r>
      <w:r w:rsidR="00A2016D">
        <w:rPr>
          <w:lang w:val="en-GB"/>
        </w:rPr>
        <w:t xml:space="preserve"> exceeds </w:t>
      </w:r>
      <w:r w:rsidR="00D2492A">
        <w:rPr>
          <w:lang w:val="en-GB"/>
        </w:rPr>
        <w:t>his</w:t>
      </w:r>
      <w:r w:rsidR="00A2016D">
        <w:rPr>
          <w:lang w:val="en-GB"/>
        </w:rPr>
        <w:t xml:space="preserve"> </w:t>
      </w:r>
      <w:r w:rsidR="00D2492A">
        <w:rPr>
          <w:lang w:val="en-GB"/>
        </w:rPr>
        <w:t>annual</w:t>
      </w:r>
      <w:r w:rsidR="00697FA2">
        <w:rPr>
          <w:lang w:val="en-GB"/>
        </w:rPr>
        <w:t xml:space="preserve"> </w:t>
      </w:r>
      <w:r w:rsidR="00A2016D">
        <w:rPr>
          <w:lang w:val="en-GB"/>
        </w:rPr>
        <w:t xml:space="preserve">exemption cap for the year. If this excess amount causes </w:t>
      </w:r>
      <w:r w:rsidR="00D2492A">
        <w:rPr>
          <w:lang w:val="en-GB"/>
        </w:rPr>
        <w:t>him</w:t>
      </w:r>
      <w:r w:rsidR="00A2016D">
        <w:rPr>
          <w:lang w:val="en-GB"/>
        </w:rPr>
        <w:t xml:space="preserve"> to exceed </w:t>
      </w:r>
      <w:r w:rsidR="00D2492A">
        <w:rPr>
          <w:lang w:val="en-GB"/>
        </w:rPr>
        <w:t>his</w:t>
      </w:r>
      <w:r w:rsidR="00A2016D">
        <w:rPr>
          <w:lang w:val="en-GB"/>
        </w:rPr>
        <w:t xml:space="preserve"> annual exemption cap then an FBT liability will arise. </w:t>
      </w:r>
      <w:r w:rsidR="0068626B">
        <w:rPr>
          <w:lang w:val="en-GB"/>
        </w:rPr>
        <w:t>In addition, t</w:t>
      </w:r>
      <w:r w:rsidR="00A2016D">
        <w:rPr>
          <w:lang w:val="en-GB"/>
        </w:rPr>
        <w:t xml:space="preserve">he entire amount (including the first $5,000) will also be included in </w:t>
      </w:r>
      <w:r w:rsidR="0068626B">
        <w:rPr>
          <w:lang w:val="en-GB"/>
        </w:rPr>
        <w:t xml:space="preserve">his </w:t>
      </w:r>
      <w:r w:rsidR="00A2016D">
        <w:rPr>
          <w:lang w:val="en-GB"/>
        </w:rPr>
        <w:t xml:space="preserve">reportable fringe benefits amount for the year which could impact </w:t>
      </w:r>
      <w:r w:rsidR="00A07C3D">
        <w:rPr>
          <w:lang w:val="en-GB"/>
        </w:rPr>
        <w:t xml:space="preserve">his </w:t>
      </w:r>
      <w:r w:rsidR="00A2016D">
        <w:rPr>
          <w:lang w:val="en-GB"/>
        </w:rPr>
        <w:t xml:space="preserve">ability to satisfy other income </w:t>
      </w:r>
      <w:r w:rsidR="00A2016D">
        <w:rPr>
          <w:lang w:val="en-GB"/>
        </w:rPr>
        <w:lastRenderedPageBreak/>
        <w:t>based tests within the tax system</w:t>
      </w:r>
      <w:r w:rsidR="0068626B">
        <w:rPr>
          <w:lang w:val="en-GB"/>
        </w:rPr>
        <w:t xml:space="preserve">, </w:t>
      </w:r>
      <w:r w:rsidR="00D2492A">
        <w:rPr>
          <w:lang w:val="en-GB"/>
        </w:rPr>
        <w:t xml:space="preserve">as well as </w:t>
      </w:r>
      <w:r w:rsidR="0068626B">
        <w:rPr>
          <w:lang w:val="en-GB"/>
        </w:rPr>
        <w:t>eligibility for certain benefits (e</w:t>
      </w:r>
      <w:r w:rsidR="00B13638">
        <w:rPr>
          <w:lang w:val="en-GB"/>
        </w:rPr>
        <w:t>.</w:t>
      </w:r>
      <w:r w:rsidR="0068626B">
        <w:rPr>
          <w:lang w:val="en-GB"/>
        </w:rPr>
        <w:t>g</w:t>
      </w:r>
      <w:r w:rsidR="00B13638">
        <w:rPr>
          <w:lang w:val="en-GB"/>
        </w:rPr>
        <w:t>.</w:t>
      </w:r>
      <w:r w:rsidR="0068626B">
        <w:rPr>
          <w:lang w:val="en-GB"/>
        </w:rPr>
        <w:t>, family assistance benefits) and certain liabilities (e</w:t>
      </w:r>
      <w:r w:rsidR="00B13638">
        <w:rPr>
          <w:lang w:val="en-GB"/>
        </w:rPr>
        <w:t>.</w:t>
      </w:r>
      <w:r w:rsidR="0068626B">
        <w:rPr>
          <w:lang w:val="en-GB"/>
        </w:rPr>
        <w:t>g</w:t>
      </w:r>
      <w:r w:rsidR="00B13638">
        <w:rPr>
          <w:lang w:val="en-GB"/>
        </w:rPr>
        <w:t>.</w:t>
      </w:r>
      <w:r w:rsidR="0068626B">
        <w:rPr>
          <w:lang w:val="en-GB"/>
        </w:rPr>
        <w:t>, child support payments)</w:t>
      </w:r>
      <w:r w:rsidR="00A2016D">
        <w:rPr>
          <w:lang w:val="en-GB"/>
        </w:rPr>
        <w:t xml:space="preserve">. </w:t>
      </w:r>
    </w:p>
    <w:p w14:paraId="3558990E" w14:textId="77777777" w:rsidR="002E2723" w:rsidRPr="00CA7EFA" w:rsidRDefault="002E2723" w:rsidP="002E2723">
      <w:pPr>
        <w:rPr>
          <w:lang w:val="en-GB"/>
        </w:rPr>
      </w:pPr>
    </w:p>
    <w:p w14:paraId="22F485E7" w14:textId="77777777" w:rsidR="00F527BB" w:rsidRPr="00CA7EFA" w:rsidRDefault="002E2723" w:rsidP="002E2723">
      <w:pPr>
        <w:rPr>
          <w:lang w:val="en-GB"/>
        </w:rPr>
      </w:pPr>
      <w:r w:rsidRPr="00CA7EFA">
        <w:rPr>
          <w:lang w:val="en-GB"/>
        </w:rPr>
        <w:t xml:space="preserve">As an employer, it will be essential to review the </w:t>
      </w:r>
      <w:r w:rsidR="00A2016D">
        <w:rPr>
          <w:lang w:val="en-GB"/>
        </w:rPr>
        <w:t xml:space="preserve">existing </w:t>
      </w:r>
      <w:r w:rsidRPr="00CA7EFA">
        <w:rPr>
          <w:lang w:val="en-GB"/>
        </w:rPr>
        <w:t>salary packages of team members affected by the change</w:t>
      </w:r>
      <w:r w:rsidR="00A2016D">
        <w:rPr>
          <w:lang w:val="en-GB"/>
        </w:rPr>
        <w:t>s</w:t>
      </w:r>
      <w:r w:rsidRPr="00CA7EFA">
        <w:rPr>
          <w:lang w:val="en-GB"/>
        </w:rPr>
        <w:t xml:space="preserve"> as someone will be paying the </w:t>
      </w:r>
      <w:r w:rsidR="00A2016D">
        <w:rPr>
          <w:lang w:val="en-GB"/>
        </w:rPr>
        <w:t xml:space="preserve">extra </w:t>
      </w:r>
      <w:r w:rsidRPr="00CA7EFA">
        <w:rPr>
          <w:lang w:val="en-GB"/>
        </w:rPr>
        <w:t xml:space="preserve">FBT </w:t>
      </w:r>
      <w:r w:rsidR="00A2016D">
        <w:rPr>
          <w:lang w:val="en-GB"/>
        </w:rPr>
        <w:t xml:space="preserve">that arises as a result of the new cap being introduced. </w:t>
      </w:r>
      <w:r w:rsidRPr="00CA7EFA">
        <w:rPr>
          <w:lang w:val="en-GB"/>
        </w:rPr>
        <w:t xml:space="preserve">  If your agreements </w:t>
      </w:r>
      <w:r w:rsidR="005D2B98" w:rsidRPr="00CA7EFA">
        <w:rPr>
          <w:lang w:val="en-GB"/>
        </w:rPr>
        <w:t xml:space="preserve">don’t </w:t>
      </w:r>
      <w:r w:rsidR="00A2016D">
        <w:rPr>
          <w:lang w:val="en-GB"/>
        </w:rPr>
        <w:t xml:space="preserve">enable </w:t>
      </w:r>
      <w:r w:rsidR="00D2492A">
        <w:rPr>
          <w:lang w:val="en-GB"/>
        </w:rPr>
        <w:t xml:space="preserve">your business </w:t>
      </w:r>
      <w:r w:rsidR="00A2016D">
        <w:rPr>
          <w:lang w:val="en-GB"/>
        </w:rPr>
        <w:t>to recover the additional FBT liability from the employee then you</w:t>
      </w:r>
      <w:r w:rsidR="00D2492A">
        <w:rPr>
          <w:lang w:val="en-GB"/>
        </w:rPr>
        <w:t>r business</w:t>
      </w:r>
      <w:r w:rsidR="00A2016D">
        <w:rPr>
          <w:lang w:val="en-GB"/>
        </w:rPr>
        <w:t xml:space="preserve"> will be stuck with the additional cost</w:t>
      </w:r>
      <w:r w:rsidR="005D2B98" w:rsidRPr="00CA7EFA">
        <w:rPr>
          <w:lang w:val="en-GB"/>
        </w:rPr>
        <w:t>.</w:t>
      </w:r>
    </w:p>
    <w:p w14:paraId="19C1C444" w14:textId="77777777" w:rsidR="00DA5A6E" w:rsidRPr="00CA7EFA" w:rsidRDefault="00DA5A6E" w:rsidP="00B4514E">
      <w:pPr>
        <w:rPr>
          <w:lang w:val="en-GB"/>
        </w:rPr>
      </w:pPr>
    </w:p>
    <w:p w14:paraId="399313E9" w14:textId="77777777" w:rsidR="00602341" w:rsidRPr="00CA7EFA" w:rsidRDefault="00DA5A6E" w:rsidP="00B4514E">
      <w:pPr>
        <w:rPr>
          <w:b/>
          <w:lang w:val="en-GB"/>
        </w:rPr>
      </w:pPr>
      <w:r w:rsidRPr="00CA7EFA">
        <w:rPr>
          <w:b/>
          <w:lang w:val="en-GB"/>
        </w:rPr>
        <w:t>3</w:t>
      </w:r>
      <w:r w:rsidR="00602341" w:rsidRPr="00CA7EFA">
        <w:rPr>
          <w:b/>
          <w:lang w:val="en-GB"/>
        </w:rPr>
        <w:t>. Salary sacrificing may not be worth it</w:t>
      </w:r>
    </w:p>
    <w:p w14:paraId="5A6F95C1" w14:textId="77777777" w:rsidR="00D56455" w:rsidRPr="00CA7EFA" w:rsidRDefault="00D56455" w:rsidP="00B4514E">
      <w:pPr>
        <w:rPr>
          <w:lang w:val="en-GB"/>
        </w:rPr>
      </w:pPr>
      <w:r w:rsidRPr="00CA7EFA">
        <w:rPr>
          <w:lang w:val="en-GB"/>
        </w:rPr>
        <w:t>By now you should have reviewed any salary sacrifice agreements to ensu</w:t>
      </w:r>
      <w:r w:rsidR="00AD5B8D" w:rsidRPr="00CA7EFA">
        <w:rPr>
          <w:lang w:val="en-GB"/>
        </w:rPr>
        <w:t>r</w:t>
      </w:r>
      <w:r w:rsidRPr="00CA7EFA">
        <w:rPr>
          <w:lang w:val="en-GB"/>
        </w:rPr>
        <w:t xml:space="preserve">e </w:t>
      </w:r>
      <w:r w:rsidR="002124BB" w:rsidRPr="00CA7EFA">
        <w:rPr>
          <w:lang w:val="en-GB"/>
        </w:rPr>
        <w:t xml:space="preserve">that </w:t>
      </w:r>
      <w:r w:rsidRPr="00CA7EFA">
        <w:rPr>
          <w:lang w:val="en-GB"/>
        </w:rPr>
        <w:t xml:space="preserve">they are still viable at the higher </w:t>
      </w:r>
      <w:r w:rsidR="00677EC7" w:rsidRPr="00CA7EFA">
        <w:rPr>
          <w:lang w:val="en-GB"/>
        </w:rPr>
        <w:t xml:space="preserve">49% </w:t>
      </w:r>
      <w:r w:rsidR="00AD5B8D" w:rsidRPr="00CA7EFA">
        <w:rPr>
          <w:lang w:val="en-GB"/>
        </w:rPr>
        <w:t xml:space="preserve">FBT </w:t>
      </w:r>
      <w:r w:rsidRPr="00CA7EFA">
        <w:rPr>
          <w:lang w:val="en-GB"/>
        </w:rPr>
        <w:t>rate.  In some cases, salary sacrifice agreement</w:t>
      </w:r>
      <w:r w:rsidR="006C78B7" w:rsidRPr="00CA7EFA">
        <w:rPr>
          <w:lang w:val="en-GB"/>
        </w:rPr>
        <w:t>s</w:t>
      </w:r>
      <w:r w:rsidRPr="00CA7EFA">
        <w:rPr>
          <w:lang w:val="en-GB"/>
        </w:rPr>
        <w:t xml:space="preserve"> may </w:t>
      </w:r>
      <w:r w:rsidR="006C78B7" w:rsidRPr="00CA7EFA">
        <w:rPr>
          <w:lang w:val="en-GB"/>
        </w:rPr>
        <w:t>no longer</w:t>
      </w:r>
      <w:r w:rsidRPr="00CA7EFA">
        <w:rPr>
          <w:lang w:val="en-GB"/>
        </w:rPr>
        <w:t xml:space="preserve"> achieve the intended goals and simply create an administrative burden for little to no benefit.</w:t>
      </w:r>
    </w:p>
    <w:p w14:paraId="05D0EB3A" w14:textId="77777777" w:rsidR="00602341" w:rsidRPr="00CA7EFA" w:rsidRDefault="00602341" w:rsidP="00B4514E">
      <w:pPr>
        <w:rPr>
          <w:lang w:val="en-GB"/>
        </w:rPr>
      </w:pPr>
    </w:p>
    <w:p w14:paraId="3ADCC8F1" w14:textId="77777777" w:rsidR="00602341" w:rsidRPr="00CA7EFA" w:rsidRDefault="00602341" w:rsidP="00B4514E">
      <w:pPr>
        <w:rPr>
          <w:lang w:val="en-GB"/>
        </w:rPr>
      </w:pPr>
      <w:r w:rsidRPr="00CA7EFA">
        <w:rPr>
          <w:lang w:val="en-GB"/>
        </w:rPr>
        <w:t>For high income earners</w:t>
      </w:r>
      <w:r w:rsidR="00585E38" w:rsidRPr="00CA7EFA">
        <w:rPr>
          <w:lang w:val="en-GB"/>
        </w:rPr>
        <w:t xml:space="preserve"> (above $180k) however</w:t>
      </w:r>
      <w:r w:rsidRPr="00CA7EFA">
        <w:rPr>
          <w:lang w:val="en-GB"/>
        </w:rPr>
        <w:t xml:space="preserve">, </w:t>
      </w:r>
      <w:r w:rsidR="00585E38" w:rsidRPr="00CA7EFA">
        <w:rPr>
          <w:lang w:val="en-GB"/>
        </w:rPr>
        <w:t xml:space="preserve">the difference in timing between the FBT year and the income year means that there </w:t>
      </w:r>
      <w:r w:rsidR="00A2016D">
        <w:rPr>
          <w:lang w:val="en-GB"/>
        </w:rPr>
        <w:t xml:space="preserve">will be </w:t>
      </w:r>
      <w:r w:rsidR="00585E38" w:rsidRPr="00CA7EFA">
        <w:rPr>
          <w:lang w:val="en-GB"/>
        </w:rPr>
        <w:t xml:space="preserve">a planning opportunity between 1 April 2017 when the FBT rate reduces back to 47% and 30 June 2017 when the 2% debt tax is removed.  </w:t>
      </w:r>
    </w:p>
    <w:p w14:paraId="43159A38" w14:textId="77777777" w:rsidR="00585E38" w:rsidRPr="00CA7EFA" w:rsidRDefault="00585E38" w:rsidP="00B4514E">
      <w:pPr>
        <w:rPr>
          <w:lang w:val="en-GB"/>
        </w:rPr>
      </w:pPr>
    </w:p>
    <w:p w14:paraId="2ECA39ED" w14:textId="77777777" w:rsidR="00425881" w:rsidRPr="00CA7EFA" w:rsidRDefault="00585E38" w:rsidP="00425881">
      <w:pPr>
        <w:rPr>
          <w:lang w:val="en-GB"/>
        </w:rPr>
      </w:pPr>
      <w:r w:rsidRPr="00CA7EFA">
        <w:rPr>
          <w:lang w:val="en-GB"/>
        </w:rPr>
        <w:t xml:space="preserve">With any salary sacrifice agreement just be aware that certain rules must be followed for </w:t>
      </w:r>
      <w:r w:rsidR="009A5BC4" w:rsidRPr="00CA7EFA">
        <w:rPr>
          <w:lang w:val="en-GB"/>
        </w:rPr>
        <w:t>the</w:t>
      </w:r>
      <w:r w:rsidRPr="00CA7EFA">
        <w:rPr>
          <w:lang w:val="en-GB"/>
        </w:rPr>
        <w:t xml:space="preserve"> agreement to be effective. </w:t>
      </w:r>
      <w:r w:rsidR="00425881" w:rsidRPr="00CA7EFA">
        <w:rPr>
          <w:lang w:val="en-GB"/>
        </w:rPr>
        <w:t xml:space="preserve"> This means that the employee should agree in writing to forgo an amount of salary and wages </w:t>
      </w:r>
      <w:r w:rsidR="00425881" w:rsidRPr="00CA7EFA">
        <w:rPr>
          <w:i/>
          <w:lang w:val="en-GB"/>
        </w:rPr>
        <w:t>before</w:t>
      </w:r>
      <w:r w:rsidR="00425881" w:rsidRPr="00CA7EFA">
        <w:rPr>
          <w:lang w:val="en-GB"/>
        </w:rPr>
        <w:t xml:space="preserve"> that entitlement has been earned.  If it’s after, it’s not valid</w:t>
      </w:r>
      <w:r w:rsidR="00A2016D">
        <w:rPr>
          <w:lang w:val="en-GB"/>
        </w:rPr>
        <w:t xml:space="preserve"> and the employee will simply be taxed on that amount</w:t>
      </w:r>
      <w:r w:rsidR="00425881" w:rsidRPr="00CA7EFA">
        <w:rPr>
          <w:lang w:val="en-GB"/>
        </w:rPr>
        <w:t xml:space="preserve">. </w:t>
      </w:r>
      <w:r w:rsidR="00A2016D">
        <w:rPr>
          <w:lang w:val="en-GB"/>
        </w:rPr>
        <w:t xml:space="preserve">The business would also be liable for obligations such as PAYG withholding and superannuation guarantee amounts. </w:t>
      </w:r>
    </w:p>
    <w:p w14:paraId="1F1CFBF0" w14:textId="77777777" w:rsidR="009A5BC4" w:rsidRPr="00CA7EFA" w:rsidRDefault="009A5BC4" w:rsidP="00B4514E">
      <w:pPr>
        <w:rPr>
          <w:lang w:val="en-GB"/>
        </w:rPr>
      </w:pPr>
    </w:p>
    <w:p w14:paraId="35F9DA90" w14:textId="77777777" w:rsidR="00425881" w:rsidRPr="00CA7EFA" w:rsidRDefault="00425881" w:rsidP="00B4514E">
      <w:pPr>
        <w:rPr>
          <w:lang w:val="en-GB"/>
        </w:rPr>
      </w:pPr>
      <w:r w:rsidRPr="00CA7EFA">
        <w:rPr>
          <w:lang w:val="en-GB"/>
        </w:rPr>
        <w:t>Be aware that the ATO is likely to pay close attention to the validity of salary sacrifice agreements over the next few years</w:t>
      </w:r>
      <w:r w:rsidR="006C78B7" w:rsidRPr="00CA7EFA">
        <w:rPr>
          <w:lang w:val="en-GB"/>
        </w:rPr>
        <w:t xml:space="preserve"> where </w:t>
      </w:r>
      <w:r w:rsidRPr="00CA7EFA">
        <w:rPr>
          <w:lang w:val="en-GB"/>
        </w:rPr>
        <w:t xml:space="preserve">the arrangements are being used to reduce </w:t>
      </w:r>
      <w:r w:rsidR="00A2016D">
        <w:rPr>
          <w:lang w:val="en-GB"/>
        </w:rPr>
        <w:t xml:space="preserve">the </w:t>
      </w:r>
      <w:r w:rsidRPr="00CA7EFA">
        <w:rPr>
          <w:lang w:val="en-GB"/>
        </w:rPr>
        <w:t xml:space="preserve">taxable income </w:t>
      </w:r>
      <w:r w:rsidR="006C78B7" w:rsidRPr="00CA7EFA">
        <w:rPr>
          <w:lang w:val="en-GB"/>
        </w:rPr>
        <w:t xml:space="preserve">of high income earners </w:t>
      </w:r>
      <w:r w:rsidRPr="00CA7EFA">
        <w:rPr>
          <w:lang w:val="en-GB"/>
        </w:rPr>
        <w:t>below $180,000.</w:t>
      </w:r>
    </w:p>
    <w:p w14:paraId="4D429EE1" w14:textId="77777777" w:rsidR="00AD5B8D" w:rsidRPr="00CA7EFA" w:rsidRDefault="00AD5B8D" w:rsidP="00B4514E">
      <w:pPr>
        <w:rPr>
          <w:lang w:val="en-GB"/>
        </w:rPr>
      </w:pPr>
    </w:p>
    <w:p w14:paraId="0FD5EC0B" w14:textId="77777777" w:rsidR="00D56455" w:rsidRPr="00CA7EFA" w:rsidRDefault="00DA5A6E" w:rsidP="00B4514E">
      <w:pPr>
        <w:rPr>
          <w:b/>
          <w:lang w:val="en-GB"/>
        </w:rPr>
      </w:pPr>
      <w:r w:rsidRPr="00CA7EFA">
        <w:rPr>
          <w:b/>
          <w:lang w:val="en-GB"/>
        </w:rPr>
        <w:t>4</w:t>
      </w:r>
      <w:r w:rsidR="00602341" w:rsidRPr="00CA7EFA">
        <w:rPr>
          <w:b/>
          <w:lang w:val="en-GB"/>
        </w:rPr>
        <w:t xml:space="preserve">. </w:t>
      </w:r>
      <w:r w:rsidR="003D07F7" w:rsidRPr="00CA7EFA">
        <w:rPr>
          <w:b/>
          <w:lang w:val="en-GB"/>
        </w:rPr>
        <w:t xml:space="preserve">Two </w:t>
      </w:r>
      <w:r w:rsidR="00A92B57" w:rsidRPr="00CA7EFA">
        <w:rPr>
          <w:b/>
          <w:lang w:val="en-GB"/>
        </w:rPr>
        <w:t>laptops are better than one for small business</w:t>
      </w:r>
    </w:p>
    <w:p w14:paraId="1CCD0E5B" w14:textId="77777777" w:rsidR="00465D61" w:rsidRPr="00CA7EFA" w:rsidRDefault="00AD5B8D" w:rsidP="00B4514E">
      <w:pPr>
        <w:rPr>
          <w:lang w:val="en-GB"/>
        </w:rPr>
      </w:pPr>
      <w:r w:rsidRPr="00CA7EFA">
        <w:rPr>
          <w:lang w:val="en-GB"/>
        </w:rPr>
        <w:t>If your business is a small business (</w:t>
      </w:r>
      <w:r w:rsidR="003D07F7" w:rsidRPr="00CA7EFA">
        <w:rPr>
          <w:lang w:val="en-GB"/>
        </w:rPr>
        <w:t>turnover</w:t>
      </w:r>
      <w:r w:rsidRPr="00CA7EFA">
        <w:rPr>
          <w:lang w:val="en-GB"/>
        </w:rPr>
        <w:t xml:space="preserve"> </w:t>
      </w:r>
      <w:r w:rsidR="009A6B06" w:rsidRPr="00CA7EFA">
        <w:rPr>
          <w:lang w:val="en-GB"/>
        </w:rPr>
        <w:t>under $2m), from 1 April 2016 the FBT exemption on portable electronic devices will be extended.  From this date, you</w:t>
      </w:r>
      <w:r w:rsidR="00F417EA">
        <w:rPr>
          <w:lang w:val="en-GB"/>
        </w:rPr>
        <w:t>r business</w:t>
      </w:r>
      <w:r w:rsidR="009A6B06" w:rsidRPr="00CA7EFA">
        <w:rPr>
          <w:lang w:val="en-GB"/>
        </w:rPr>
        <w:t xml:space="preserve"> can offer employees more than one </w:t>
      </w:r>
      <w:r w:rsidR="00306FFE" w:rsidRPr="00CA7EFA">
        <w:rPr>
          <w:lang w:val="en-GB"/>
        </w:rPr>
        <w:t>work-related portable electronic device, such as a mobile phone, laptop and tablet and not have to pay FBT on it</w:t>
      </w:r>
      <w:r w:rsidR="00DC2911">
        <w:rPr>
          <w:lang w:val="en-GB"/>
        </w:rPr>
        <w:t xml:space="preserve"> even if the device is the same or similar to other devices already provided in that same FBT year</w:t>
      </w:r>
      <w:r w:rsidR="00306FFE" w:rsidRPr="00CA7EFA">
        <w:rPr>
          <w:lang w:val="en-GB"/>
        </w:rPr>
        <w:t xml:space="preserve">. </w:t>
      </w:r>
      <w:r w:rsidR="003D07F7" w:rsidRPr="00CA7EFA">
        <w:rPr>
          <w:lang w:val="en-GB"/>
        </w:rPr>
        <w:t xml:space="preserve"> All other businesses are limited to one device that is identical or similar to another.</w:t>
      </w:r>
    </w:p>
    <w:p w14:paraId="01AC80EB" w14:textId="77777777" w:rsidR="00DA4675" w:rsidRPr="00CA7EFA" w:rsidRDefault="00DA4675" w:rsidP="00B4514E">
      <w:pPr>
        <w:rPr>
          <w:b/>
          <w:lang w:val="en-GB"/>
        </w:rPr>
      </w:pPr>
    </w:p>
    <w:p w14:paraId="51DA7244" w14:textId="77777777" w:rsidR="00725191" w:rsidRPr="00CA7EFA" w:rsidRDefault="00725191" w:rsidP="00B4514E">
      <w:pPr>
        <w:rPr>
          <w:b/>
          <w:lang w:val="en-GB"/>
        </w:rPr>
      </w:pPr>
      <w:r w:rsidRPr="00CA7EFA">
        <w:rPr>
          <w:b/>
          <w:lang w:val="en-GB"/>
        </w:rPr>
        <w:t>5. Yoga or gym classes at the office?</w:t>
      </w:r>
    </w:p>
    <w:p w14:paraId="445E6BB4" w14:textId="77777777" w:rsidR="00DA4675" w:rsidRPr="00CA7EFA" w:rsidRDefault="003D07F7" w:rsidP="00DA4675">
      <w:pPr>
        <w:rPr>
          <w:lang w:val="en-GB"/>
        </w:rPr>
      </w:pPr>
      <w:r w:rsidRPr="00CA7EFA">
        <w:rPr>
          <w:lang w:val="en-GB"/>
        </w:rPr>
        <w:t>Wondering w</w:t>
      </w:r>
      <w:r w:rsidR="00DA4675" w:rsidRPr="00CA7EFA">
        <w:rPr>
          <w:lang w:val="en-GB"/>
        </w:rPr>
        <w:t>hat to d</w:t>
      </w:r>
      <w:r w:rsidRPr="00CA7EFA">
        <w:rPr>
          <w:lang w:val="en-GB"/>
        </w:rPr>
        <w:t>o with that</w:t>
      </w:r>
      <w:r w:rsidR="00DA4675" w:rsidRPr="00CA7EFA">
        <w:rPr>
          <w:lang w:val="en-GB"/>
        </w:rPr>
        <w:t xml:space="preserve"> extra </w:t>
      </w:r>
      <w:r w:rsidRPr="00CA7EFA">
        <w:rPr>
          <w:lang w:val="en-GB"/>
        </w:rPr>
        <w:t xml:space="preserve">office space?  Put in </w:t>
      </w:r>
      <w:r w:rsidR="00DA4675" w:rsidRPr="00CA7EFA">
        <w:rPr>
          <w:lang w:val="en-GB"/>
        </w:rPr>
        <w:t xml:space="preserve">gym facilities for </w:t>
      </w:r>
      <w:r w:rsidRPr="00CA7EFA">
        <w:rPr>
          <w:lang w:val="en-GB"/>
        </w:rPr>
        <w:t>the team?  Use</w:t>
      </w:r>
      <w:r w:rsidR="00DA4675" w:rsidRPr="00CA7EFA">
        <w:rPr>
          <w:lang w:val="en-GB"/>
        </w:rPr>
        <w:t xml:space="preserve"> </w:t>
      </w:r>
      <w:r w:rsidRPr="00CA7EFA">
        <w:rPr>
          <w:lang w:val="en-GB"/>
        </w:rPr>
        <w:t xml:space="preserve">a </w:t>
      </w:r>
      <w:r w:rsidR="00DA4675" w:rsidRPr="00CA7EFA">
        <w:rPr>
          <w:lang w:val="en-GB"/>
        </w:rPr>
        <w:t xml:space="preserve">room for a yoga class or personal trainer perhaps?  A recent </w:t>
      </w:r>
      <w:r w:rsidR="00DC2911">
        <w:rPr>
          <w:lang w:val="en-GB"/>
        </w:rPr>
        <w:t xml:space="preserve">ATO </w:t>
      </w:r>
      <w:r w:rsidR="004E0B19">
        <w:rPr>
          <w:lang w:val="en-GB"/>
        </w:rPr>
        <w:t>decision confirmed</w:t>
      </w:r>
      <w:r w:rsidR="00DA4675" w:rsidRPr="00CA7EFA">
        <w:rPr>
          <w:lang w:val="en-GB"/>
        </w:rPr>
        <w:t xml:space="preserve"> that the FBT implications of these two options are quite different.  The reason is the definition of a “recreational facility.”  A recreational facility is exactly that, a facility for recreation.  </w:t>
      </w:r>
      <w:r w:rsidR="00B90868" w:rsidRPr="00CA7EFA">
        <w:rPr>
          <w:lang w:val="en-GB"/>
        </w:rPr>
        <w:t xml:space="preserve">Recreational facilities </w:t>
      </w:r>
      <w:r w:rsidR="00DC2911">
        <w:rPr>
          <w:lang w:val="en-GB"/>
        </w:rPr>
        <w:t xml:space="preserve">can be </w:t>
      </w:r>
      <w:r w:rsidR="00B90868" w:rsidRPr="00CA7EFA">
        <w:rPr>
          <w:lang w:val="en-GB"/>
        </w:rPr>
        <w:t>exempt from FBT</w:t>
      </w:r>
      <w:r w:rsidR="00DC2911">
        <w:rPr>
          <w:lang w:val="en-GB"/>
        </w:rPr>
        <w:t xml:space="preserve"> if certain conditions can be met</w:t>
      </w:r>
      <w:r w:rsidR="00B90868" w:rsidRPr="00CA7EFA">
        <w:rPr>
          <w:lang w:val="en-GB"/>
        </w:rPr>
        <w:t xml:space="preserve">.  </w:t>
      </w:r>
      <w:r w:rsidRPr="00CA7EFA">
        <w:rPr>
          <w:lang w:val="en-GB"/>
        </w:rPr>
        <w:t xml:space="preserve"> </w:t>
      </w:r>
      <w:r w:rsidR="00DC2911">
        <w:rPr>
          <w:lang w:val="en-GB"/>
        </w:rPr>
        <w:t>However, a</w:t>
      </w:r>
      <w:r w:rsidR="00DA4675" w:rsidRPr="00CA7EFA">
        <w:rPr>
          <w:lang w:val="en-GB"/>
        </w:rPr>
        <w:t xml:space="preserve"> fitness class or a </w:t>
      </w:r>
      <w:r w:rsidR="009A0425" w:rsidRPr="00CA7EFA">
        <w:rPr>
          <w:lang w:val="en-GB"/>
        </w:rPr>
        <w:t xml:space="preserve">personal </w:t>
      </w:r>
      <w:r w:rsidR="00DA4675" w:rsidRPr="00CA7EFA">
        <w:rPr>
          <w:lang w:val="en-GB"/>
        </w:rPr>
        <w:t>trainer is not a recreational facility</w:t>
      </w:r>
      <w:r w:rsidR="00247C48" w:rsidRPr="00CA7EFA">
        <w:rPr>
          <w:lang w:val="en-GB"/>
        </w:rPr>
        <w:t xml:space="preserve"> and therefore, FBT would </w:t>
      </w:r>
      <w:r w:rsidR="00DC2911">
        <w:rPr>
          <w:lang w:val="en-GB"/>
        </w:rPr>
        <w:t xml:space="preserve">generally </w:t>
      </w:r>
      <w:r w:rsidR="00247C48" w:rsidRPr="00CA7EFA">
        <w:rPr>
          <w:lang w:val="en-GB"/>
        </w:rPr>
        <w:t>apply</w:t>
      </w:r>
      <w:r w:rsidR="00DA4675" w:rsidRPr="00CA7EFA">
        <w:rPr>
          <w:lang w:val="en-GB"/>
        </w:rPr>
        <w:t xml:space="preserve">. </w:t>
      </w:r>
    </w:p>
    <w:p w14:paraId="7556B06E" w14:textId="77777777" w:rsidR="00EB0A31" w:rsidRPr="00CA7EFA" w:rsidRDefault="00EB0A31" w:rsidP="00B4514E">
      <w:pPr>
        <w:rPr>
          <w:lang w:val="en-GB"/>
        </w:rPr>
      </w:pPr>
    </w:p>
    <w:p w14:paraId="19BB5636" w14:textId="77777777" w:rsidR="00EB0A31" w:rsidRPr="00CA7EFA" w:rsidRDefault="00EB0A31" w:rsidP="00B4514E">
      <w:pPr>
        <w:rPr>
          <w:lang w:val="en-GB"/>
        </w:rPr>
      </w:pPr>
    </w:p>
    <w:p w14:paraId="42E71EF9" w14:textId="77777777" w:rsidR="001A29EC" w:rsidRPr="00CA7EFA" w:rsidRDefault="001A29EC" w:rsidP="00B4514E">
      <w:pPr>
        <w:rPr>
          <w:b/>
          <w:sz w:val="28"/>
          <w:szCs w:val="28"/>
          <w:lang w:val="en-GB"/>
        </w:rPr>
      </w:pPr>
      <w:r w:rsidRPr="00CA7EFA">
        <w:rPr>
          <w:b/>
          <w:sz w:val="28"/>
          <w:szCs w:val="28"/>
          <w:lang w:val="en-GB"/>
        </w:rPr>
        <w:t xml:space="preserve">Where the ATO is taking an active interest </w:t>
      </w:r>
    </w:p>
    <w:p w14:paraId="379C09A1" w14:textId="77777777" w:rsidR="001A29EC" w:rsidRPr="00CA7EFA" w:rsidRDefault="001A29EC" w:rsidP="00B4514E">
      <w:pPr>
        <w:rPr>
          <w:b/>
          <w:lang w:val="en-GB"/>
        </w:rPr>
      </w:pPr>
    </w:p>
    <w:p w14:paraId="782A30CA" w14:textId="77777777" w:rsidR="00B4514E" w:rsidRPr="00CA7EFA" w:rsidRDefault="00B4514E" w:rsidP="00B4514E">
      <w:pPr>
        <w:rPr>
          <w:b/>
          <w:lang w:val="en-GB"/>
        </w:rPr>
      </w:pPr>
      <w:r w:rsidRPr="00CA7EFA">
        <w:rPr>
          <w:b/>
          <w:lang w:val="en-GB"/>
        </w:rPr>
        <w:t xml:space="preserve">Travelling or living away from home </w:t>
      </w:r>
      <w:r w:rsidRPr="00CA7EFA">
        <w:rPr>
          <w:rFonts w:ascii="Monaco" w:hAnsi="Monaco" w:cs="Monaco"/>
          <w:b/>
          <w:lang w:val="en-GB"/>
        </w:rPr>
        <w:t>‑</w:t>
      </w:r>
      <w:r w:rsidRPr="00CA7EFA">
        <w:rPr>
          <w:b/>
          <w:lang w:val="en-GB"/>
        </w:rPr>
        <w:t xml:space="preserve"> what’s the difference?</w:t>
      </w:r>
    </w:p>
    <w:p w14:paraId="059EA448" w14:textId="77777777" w:rsidR="001A29EC" w:rsidRPr="00CA7EFA" w:rsidRDefault="001A29EC" w:rsidP="00B4514E">
      <w:pPr>
        <w:rPr>
          <w:lang w:val="en-GB"/>
        </w:rPr>
      </w:pPr>
      <w:r w:rsidRPr="00CA7EFA">
        <w:rPr>
          <w:lang w:val="en-GB"/>
        </w:rPr>
        <w:t xml:space="preserve">An issue that often comes up </w:t>
      </w:r>
      <w:r w:rsidR="00B4514E" w:rsidRPr="00CA7EFA">
        <w:rPr>
          <w:lang w:val="en-GB"/>
        </w:rPr>
        <w:t xml:space="preserve">is determining whether someone is living away from home, relocating or just travelling. </w:t>
      </w:r>
      <w:r w:rsidRPr="00CA7EFA">
        <w:rPr>
          <w:lang w:val="en-GB"/>
        </w:rPr>
        <w:t xml:space="preserve"> </w:t>
      </w:r>
      <w:r w:rsidR="00B4514E" w:rsidRPr="00CA7EFA">
        <w:rPr>
          <w:lang w:val="en-GB"/>
        </w:rPr>
        <w:t xml:space="preserve">The ATO is looking closely at Australian taxpayers claiming living away from home (LAFH) allowances to make sure they are not incorrectly accessing the FBT concessions. If somebody is living in Sydney but travelling to Melbourne on an ad hoc basis every other week for work, they are </w:t>
      </w:r>
      <w:r w:rsidR="00DC2911">
        <w:rPr>
          <w:lang w:val="en-GB"/>
        </w:rPr>
        <w:t>probably just</w:t>
      </w:r>
      <w:r w:rsidR="00DC2911" w:rsidRPr="00CA7EFA">
        <w:rPr>
          <w:lang w:val="en-GB"/>
        </w:rPr>
        <w:t xml:space="preserve"> </w:t>
      </w:r>
      <w:r w:rsidR="00B4514E" w:rsidRPr="00CA7EFA">
        <w:rPr>
          <w:lang w:val="en-GB"/>
        </w:rPr>
        <w:t xml:space="preserve">travelling. They may be entitled to travel deductions but are not entitled to the FBT concessions that can apply to LAFHAs. If the person </w:t>
      </w:r>
      <w:r w:rsidR="00DC2911">
        <w:rPr>
          <w:lang w:val="en-GB"/>
        </w:rPr>
        <w:t xml:space="preserve">sets up a home </w:t>
      </w:r>
      <w:r w:rsidR="00B4514E" w:rsidRPr="00CA7EFA">
        <w:rPr>
          <w:lang w:val="en-GB"/>
        </w:rPr>
        <w:t xml:space="preserve">temporarily </w:t>
      </w:r>
      <w:r w:rsidR="00DC2911">
        <w:rPr>
          <w:lang w:val="en-GB"/>
        </w:rPr>
        <w:t>in</w:t>
      </w:r>
      <w:r w:rsidR="00B4514E" w:rsidRPr="00CA7EFA">
        <w:rPr>
          <w:lang w:val="en-GB"/>
        </w:rPr>
        <w:t xml:space="preserve"> Melbourne, keeps their home in Sydney for their use (can’t be rented out), then it’s more likely they can access the living away from home allowance concessions. </w:t>
      </w:r>
      <w:r w:rsidR="009115FE" w:rsidRPr="00CA7EFA">
        <w:rPr>
          <w:lang w:val="en-GB"/>
        </w:rPr>
        <w:t xml:space="preserve"> You need to double check to get the distinctions right.</w:t>
      </w:r>
    </w:p>
    <w:p w14:paraId="32110B0A" w14:textId="77777777" w:rsidR="001A29EC" w:rsidRPr="00CA7EFA" w:rsidRDefault="001A29EC" w:rsidP="00B4514E">
      <w:pPr>
        <w:rPr>
          <w:lang w:val="en-GB"/>
        </w:rPr>
      </w:pPr>
    </w:p>
    <w:p w14:paraId="52E150E7" w14:textId="77777777" w:rsidR="001A29EC" w:rsidRPr="00CA7EFA" w:rsidRDefault="005D2B98" w:rsidP="00B4514E">
      <w:pPr>
        <w:rPr>
          <w:lang w:val="en-GB"/>
        </w:rPr>
      </w:pPr>
      <w:r w:rsidRPr="00CA7EFA">
        <w:rPr>
          <w:lang w:val="en-GB"/>
        </w:rPr>
        <w:t xml:space="preserve">There are also special rules where transport </w:t>
      </w:r>
      <w:r w:rsidR="00DC2911">
        <w:rPr>
          <w:lang w:val="en-GB"/>
        </w:rPr>
        <w:t xml:space="preserve">is </w:t>
      </w:r>
      <w:r w:rsidRPr="00CA7EFA">
        <w:rPr>
          <w:lang w:val="en-GB"/>
        </w:rPr>
        <w:t>provided by employers to</w:t>
      </w:r>
      <w:r w:rsidR="001A29EC" w:rsidRPr="00CA7EFA">
        <w:rPr>
          <w:lang w:val="en-GB"/>
        </w:rPr>
        <w:t xml:space="preserve"> fly-in-fly out workers</w:t>
      </w:r>
      <w:r w:rsidRPr="00CA7EFA">
        <w:rPr>
          <w:lang w:val="en-GB"/>
        </w:rPr>
        <w:t xml:space="preserve"> </w:t>
      </w:r>
      <w:r w:rsidR="00F417EA">
        <w:rPr>
          <w:lang w:val="en-GB"/>
        </w:rPr>
        <w:t>to ensure</w:t>
      </w:r>
      <w:r w:rsidRPr="00CA7EFA">
        <w:rPr>
          <w:lang w:val="en-GB"/>
        </w:rPr>
        <w:t xml:space="preserve"> the travel is exempt from FBT</w:t>
      </w:r>
      <w:r w:rsidR="001A29EC" w:rsidRPr="00CA7EFA">
        <w:rPr>
          <w:lang w:val="en-GB"/>
        </w:rPr>
        <w:t>.</w:t>
      </w:r>
    </w:p>
    <w:p w14:paraId="28E998B1" w14:textId="77777777" w:rsidR="001A29EC" w:rsidRPr="00CA7EFA" w:rsidRDefault="001A29EC" w:rsidP="00B4514E">
      <w:pPr>
        <w:rPr>
          <w:lang w:val="en-GB"/>
        </w:rPr>
      </w:pPr>
    </w:p>
    <w:p w14:paraId="249391EC" w14:textId="77777777" w:rsidR="00B4514E" w:rsidRPr="00CA7EFA" w:rsidRDefault="00B4514E" w:rsidP="00B4514E">
      <w:pPr>
        <w:rPr>
          <w:b/>
          <w:lang w:val="en-GB"/>
        </w:rPr>
      </w:pPr>
      <w:r w:rsidRPr="00CA7EFA">
        <w:rPr>
          <w:b/>
          <w:lang w:val="en-GB"/>
        </w:rPr>
        <w:t>Motor vehicles</w:t>
      </w:r>
    </w:p>
    <w:p w14:paraId="4C51D97C" w14:textId="77777777" w:rsidR="00B4514E" w:rsidRPr="00CA7EFA" w:rsidRDefault="00B4514E" w:rsidP="00B4514E">
      <w:pPr>
        <w:rPr>
          <w:lang w:val="en-GB"/>
        </w:rPr>
      </w:pPr>
      <w:r w:rsidRPr="00CA7EFA">
        <w:rPr>
          <w:lang w:val="en-GB"/>
        </w:rPr>
        <w:t>Where a motor vehicle owned or leased by the business is used by an employee for private purposes (including travelling between home and the workplace), then FBT is an i</w:t>
      </w:r>
      <w:r w:rsidR="001A29EC" w:rsidRPr="00CA7EFA">
        <w:rPr>
          <w:lang w:val="en-GB"/>
        </w:rPr>
        <w:t>ssue that needs to be managed.</w:t>
      </w:r>
      <w:r w:rsidR="00DC2911">
        <w:rPr>
          <w:lang w:val="en-GB"/>
        </w:rPr>
        <w:t xml:space="preserve"> The ATO is conducting a data matching program that is aimed at motor vehicles to try and capture benefits that are not currently being reported through the FBT </w:t>
      </w:r>
      <w:r w:rsidR="004E0B19">
        <w:rPr>
          <w:lang w:val="en-GB"/>
        </w:rPr>
        <w:t>system</w:t>
      </w:r>
      <w:r w:rsidR="00DC2911">
        <w:rPr>
          <w:lang w:val="en-GB"/>
        </w:rPr>
        <w:t>.</w:t>
      </w:r>
    </w:p>
    <w:p w14:paraId="7B114036" w14:textId="77777777" w:rsidR="001A29EC" w:rsidRPr="00CA7EFA" w:rsidRDefault="001A29EC" w:rsidP="00B4514E">
      <w:pPr>
        <w:rPr>
          <w:lang w:val="en-GB"/>
        </w:rPr>
      </w:pPr>
    </w:p>
    <w:p w14:paraId="5FD95379" w14:textId="77777777" w:rsidR="00B4514E" w:rsidRPr="00CA7EFA" w:rsidRDefault="00B4514E" w:rsidP="00B4514E">
      <w:pPr>
        <w:rPr>
          <w:b/>
          <w:lang w:val="en-GB"/>
        </w:rPr>
      </w:pPr>
      <w:r w:rsidRPr="00CA7EFA">
        <w:rPr>
          <w:b/>
          <w:lang w:val="en-GB"/>
        </w:rPr>
        <w:t>Interaction between FBT, income tax and GST</w:t>
      </w:r>
    </w:p>
    <w:p w14:paraId="2F642C8A" w14:textId="77777777" w:rsidR="00B4514E" w:rsidRPr="00CA7EFA" w:rsidRDefault="00B4514E" w:rsidP="00B4514E">
      <w:pPr>
        <w:rPr>
          <w:lang w:val="en-GB"/>
        </w:rPr>
      </w:pPr>
      <w:r w:rsidRPr="00CA7EFA">
        <w:rPr>
          <w:lang w:val="en-GB"/>
        </w:rPr>
        <w:t>If you</w:t>
      </w:r>
      <w:r w:rsidR="00D2492A">
        <w:rPr>
          <w:lang w:val="en-GB"/>
        </w:rPr>
        <w:t>r business</w:t>
      </w:r>
      <w:r w:rsidRPr="00CA7EFA">
        <w:rPr>
          <w:lang w:val="en-GB"/>
        </w:rPr>
        <w:t xml:space="preserve"> pay</w:t>
      </w:r>
      <w:r w:rsidR="00D2492A">
        <w:rPr>
          <w:lang w:val="en-GB"/>
        </w:rPr>
        <w:t>s</w:t>
      </w:r>
      <w:r w:rsidRPr="00CA7EFA">
        <w:rPr>
          <w:lang w:val="en-GB"/>
        </w:rPr>
        <w:t xml:space="preserve"> FBT on a benefit relating to entertainment then </w:t>
      </w:r>
      <w:r w:rsidR="00D2492A">
        <w:rPr>
          <w:lang w:val="en-GB"/>
        </w:rPr>
        <w:t>it</w:t>
      </w:r>
      <w:r w:rsidRPr="00CA7EFA">
        <w:rPr>
          <w:lang w:val="en-GB"/>
        </w:rPr>
        <w:t xml:space="preserve"> can generally claim a deduction for the costs associated with providing the entertainment as well as the GST credits. However, if FBT does not apply to the benefit then no deduction or GST credits can generally be claimed.   Entertainment can be almost anything from food, drink, recreation such as movie tickets, to non</w:t>
      </w:r>
      <w:r w:rsidRPr="00CA7EFA">
        <w:rPr>
          <w:rFonts w:ascii="Monaco" w:hAnsi="Monaco" w:cs="Monaco"/>
          <w:lang w:val="en-GB"/>
        </w:rPr>
        <w:t>‑</w:t>
      </w:r>
      <w:r w:rsidRPr="00CA7EFA">
        <w:rPr>
          <w:lang w:val="en-GB"/>
        </w:rPr>
        <w:t>work based travel. If you</w:t>
      </w:r>
      <w:r w:rsidR="00D2492A">
        <w:rPr>
          <w:lang w:val="en-GB"/>
        </w:rPr>
        <w:t>r business</w:t>
      </w:r>
      <w:r w:rsidRPr="00CA7EFA">
        <w:rPr>
          <w:lang w:val="en-GB"/>
        </w:rPr>
        <w:t xml:space="preserve"> provide</w:t>
      </w:r>
      <w:r w:rsidR="00D2492A">
        <w:rPr>
          <w:lang w:val="en-GB"/>
        </w:rPr>
        <w:t>s</w:t>
      </w:r>
      <w:r w:rsidRPr="00CA7EFA">
        <w:rPr>
          <w:lang w:val="en-GB"/>
        </w:rPr>
        <w:t xml:space="preserve"> any entertainment benefits to employees, such as an employee attending a busines</w:t>
      </w:r>
      <w:r w:rsidR="001A29EC" w:rsidRPr="00CA7EFA">
        <w:rPr>
          <w:lang w:val="en-GB"/>
        </w:rPr>
        <w:t>s lunch, then FBT might apply. </w:t>
      </w:r>
    </w:p>
    <w:p w14:paraId="310D6CF8" w14:textId="77777777" w:rsidR="001A29EC" w:rsidRPr="00CA7EFA" w:rsidRDefault="001A29EC" w:rsidP="00B4514E">
      <w:pPr>
        <w:rPr>
          <w:lang w:val="en-GB"/>
        </w:rPr>
      </w:pPr>
    </w:p>
    <w:p w14:paraId="6B1A40D4" w14:textId="77777777" w:rsidR="00B4514E" w:rsidRPr="00CA7EFA" w:rsidRDefault="00B4514E" w:rsidP="00B4514E">
      <w:pPr>
        <w:rPr>
          <w:b/>
          <w:lang w:val="en-GB"/>
        </w:rPr>
      </w:pPr>
      <w:r w:rsidRPr="00CA7EFA">
        <w:rPr>
          <w:b/>
          <w:lang w:val="en-GB"/>
        </w:rPr>
        <w:t>Structuring employee salaries through a unit trust</w:t>
      </w:r>
    </w:p>
    <w:p w14:paraId="693603F1" w14:textId="77777777" w:rsidR="00B4514E" w:rsidRPr="00CA7EFA" w:rsidRDefault="00B4514E" w:rsidP="00B4514E">
      <w:pPr>
        <w:rPr>
          <w:lang w:val="en-GB"/>
        </w:rPr>
      </w:pPr>
      <w:r w:rsidRPr="00CA7EFA">
        <w:rPr>
          <w:lang w:val="en-GB"/>
        </w:rPr>
        <w:t>The ATO has warned employers against complex structuring arrangements designed to channel benefits to employees using an employee remuneration trust. The most recent ATO alert looks at arrangements where the employer repays an employee’s loan through a trust. Under these arrangements, employees acquire units in a unit trust funded by a loan from the trustee. The loan is repaid by the employer using amounts salary sacrificed by employees. The result is that the taxable value of the benefit provided to the employee skirts the FBT system – a big no, no from the ATO’s point of view.  </w:t>
      </w:r>
    </w:p>
    <w:p w14:paraId="5842295D" w14:textId="77777777" w:rsidR="00B4514E" w:rsidRPr="00CA7EFA" w:rsidRDefault="00B4514E" w:rsidP="00B4514E">
      <w:pPr>
        <w:rPr>
          <w:lang w:val="en-GB"/>
        </w:rPr>
      </w:pPr>
    </w:p>
    <w:p w14:paraId="7D39B570" w14:textId="77777777" w:rsidR="00B4514E" w:rsidRPr="00CA7EFA" w:rsidRDefault="00B4514E" w:rsidP="00B4514E">
      <w:pPr>
        <w:rPr>
          <w:b/>
          <w:lang w:val="en-GB"/>
        </w:rPr>
      </w:pPr>
      <w:r w:rsidRPr="00CA7EFA">
        <w:rPr>
          <w:b/>
          <w:lang w:val="en-GB"/>
        </w:rPr>
        <w:lastRenderedPageBreak/>
        <w:t>How do I know if I need to pay FBT?</w:t>
      </w:r>
    </w:p>
    <w:p w14:paraId="29F29608" w14:textId="77777777" w:rsidR="00B4514E" w:rsidRPr="00CA7EFA" w:rsidRDefault="00B4514E" w:rsidP="00B4514E">
      <w:pPr>
        <w:rPr>
          <w:lang w:val="en-GB"/>
        </w:rPr>
      </w:pPr>
      <w:r w:rsidRPr="00CA7EFA">
        <w:rPr>
          <w:lang w:val="en-GB"/>
        </w:rPr>
        <w:t>If you are not sure whether you</w:t>
      </w:r>
      <w:r w:rsidR="00D2492A">
        <w:rPr>
          <w:lang w:val="en-GB"/>
        </w:rPr>
        <w:t xml:space="preserve">r business is </w:t>
      </w:r>
      <w:r w:rsidRPr="00CA7EFA">
        <w:rPr>
          <w:lang w:val="en-GB"/>
        </w:rPr>
        <w:t xml:space="preserve">providing fringe benefits to </w:t>
      </w:r>
      <w:r w:rsidR="00D2492A">
        <w:rPr>
          <w:lang w:val="en-GB"/>
        </w:rPr>
        <w:t>its</w:t>
      </w:r>
      <w:r w:rsidRPr="00CA7EFA">
        <w:rPr>
          <w:lang w:val="en-GB"/>
        </w:rPr>
        <w:t xml:space="preserve"> employees, here are some key questions you should ask yourself:</w:t>
      </w:r>
    </w:p>
    <w:p w14:paraId="5A726C9F" w14:textId="77777777" w:rsidR="00B4514E" w:rsidRPr="00CA7EFA" w:rsidRDefault="00B4514E" w:rsidP="001A29EC">
      <w:pPr>
        <w:pStyle w:val="ListParagraph"/>
        <w:numPr>
          <w:ilvl w:val="0"/>
          <w:numId w:val="1"/>
        </w:numPr>
        <w:rPr>
          <w:lang w:val="en-GB"/>
        </w:rPr>
      </w:pPr>
      <w:r w:rsidRPr="00CA7EFA">
        <w:rPr>
          <w:lang w:val="en-GB"/>
        </w:rPr>
        <w:t>Do</w:t>
      </w:r>
      <w:r w:rsidR="00D2492A">
        <w:rPr>
          <w:lang w:val="en-GB"/>
        </w:rPr>
        <w:t>es</w:t>
      </w:r>
      <w:r w:rsidRPr="00CA7EFA">
        <w:rPr>
          <w:lang w:val="en-GB"/>
        </w:rPr>
        <w:t xml:space="preserve"> you</w:t>
      </w:r>
      <w:r w:rsidR="00D2492A">
        <w:rPr>
          <w:lang w:val="en-GB"/>
        </w:rPr>
        <w:t>r business</w:t>
      </w:r>
      <w:r w:rsidRPr="00CA7EFA">
        <w:rPr>
          <w:lang w:val="en-GB"/>
        </w:rPr>
        <w:t xml:space="preserve"> make vehicles owned or leased by the business available to employees for private use?</w:t>
      </w:r>
    </w:p>
    <w:p w14:paraId="72BE070B" w14:textId="77777777" w:rsidR="00B4514E" w:rsidRPr="00CA7EFA" w:rsidRDefault="00B4514E" w:rsidP="001A29EC">
      <w:pPr>
        <w:pStyle w:val="ListParagraph"/>
        <w:numPr>
          <w:ilvl w:val="0"/>
          <w:numId w:val="1"/>
        </w:numPr>
        <w:rPr>
          <w:lang w:val="en-GB"/>
        </w:rPr>
      </w:pPr>
      <w:r w:rsidRPr="00CA7EFA">
        <w:rPr>
          <w:lang w:val="en-GB"/>
        </w:rPr>
        <w:t>Does your business provide loans at reduced interest rates to employees?</w:t>
      </w:r>
    </w:p>
    <w:p w14:paraId="7F2137CA" w14:textId="77777777" w:rsidR="00B4514E" w:rsidRPr="00CA7EFA" w:rsidRDefault="00B4514E" w:rsidP="001A29EC">
      <w:pPr>
        <w:pStyle w:val="ListParagraph"/>
        <w:numPr>
          <w:ilvl w:val="0"/>
          <w:numId w:val="1"/>
        </w:numPr>
        <w:rPr>
          <w:lang w:val="en-GB"/>
        </w:rPr>
      </w:pPr>
      <w:r w:rsidRPr="00CA7EFA">
        <w:rPr>
          <w:lang w:val="en-GB"/>
        </w:rPr>
        <w:t xml:space="preserve">Has your business forgiven </w:t>
      </w:r>
      <w:r w:rsidR="00882C0E">
        <w:rPr>
          <w:lang w:val="en-GB"/>
        </w:rPr>
        <w:t xml:space="preserve">or released </w:t>
      </w:r>
      <w:r w:rsidRPr="00CA7EFA">
        <w:rPr>
          <w:lang w:val="en-GB"/>
        </w:rPr>
        <w:t>any debts owed by employees?</w:t>
      </w:r>
    </w:p>
    <w:p w14:paraId="386637E5" w14:textId="77777777" w:rsidR="00B4514E" w:rsidRPr="00CA7EFA" w:rsidRDefault="00B4514E" w:rsidP="001A29EC">
      <w:pPr>
        <w:pStyle w:val="ListParagraph"/>
        <w:numPr>
          <w:ilvl w:val="0"/>
          <w:numId w:val="1"/>
        </w:numPr>
        <w:rPr>
          <w:lang w:val="en-GB"/>
        </w:rPr>
      </w:pPr>
      <w:r w:rsidRPr="00CA7EFA">
        <w:rPr>
          <w:lang w:val="en-GB"/>
        </w:rPr>
        <w:t>Has your business paid for, or reimbursed, any private expenses incurred by employees?</w:t>
      </w:r>
    </w:p>
    <w:p w14:paraId="447B1B3E" w14:textId="77777777" w:rsidR="00B4514E" w:rsidRPr="00CA7EFA" w:rsidRDefault="00B4514E" w:rsidP="001A29EC">
      <w:pPr>
        <w:pStyle w:val="ListParagraph"/>
        <w:numPr>
          <w:ilvl w:val="0"/>
          <w:numId w:val="1"/>
        </w:numPr>
        <w:rPr>
          <w:lang w:val="en-GB"/>
        </w:rPr>
      </w:pPr>
      <w:r w:rsidRPr="00CA7EFA">
        <w:rPr>
          <w:lang w:val="en-GB"/>
        </w:rPr>
        <w:t>Does your business provide a house or unit of accommodation to employees?</w:t>
      </w:r>
    </w:p>
    <w:p w14:paraId="41D0E534" w14:textId="77777777" w:rsidR="00B4514E" w:rsidRPr="00CA7EFA" w:rsidRDefault="00B4514E" w:rsidP="001A29EC">
      <w:pPr>
        <w:pStyle w:val="ListParagraph"/>
        <w:numPr>
          <w:ilvl w:val="0"/>
          <w:numId w:val="1"/>
        </w:numPr>
        <w:rPr>
          <w:lang w:val="en-GB"/>
        </w:rPr>
      </w:pPr>
      <w:r w:rsidRPr="00CA7EFA">
        <w:rPr>
          <w:lang w:val="en-GB"/>
        </w:rPr>
        <w:t>Does your business provide employees with living</w:t>
      </w:r>
      <w:r w:rsidRPr="00CA7EFA">
        <w:rPr>
          <w:rFonts w:ascii="Monaco" w:hAnsi="Monaco" w:cs="Monaco"/>
          <w:lang w:val="en-GB"/>
        </w:rPr>
        <w:t>‑</w:t>
      </w:r>
      <w:r w:rsidRPr="00CA7EFA">
        <w:rPr>
          <w:lang w:val="en-GB"/>
        </w:rPr>
        <w:t>away</w:t>
      </w:r>
      <w:r w:rsidRPr="00CA7EFA">
        <w:rPr>
          <w:rFonts w:ascii="Monaco" w:hAnsi="Monaco" w:cs="Monaco"/>
          <w:lang w:val="en-GB"/>
        </w:rPr>
        <w:t>‑</w:t>
      </w:r>
      <w:r w:rsidRPr="00CA7EFA">
        <w:rPr>
          <w:lang w:val="en-GB"/>
        </w:rPr>
        <w:t>from</w:t>
      </w:r>
      <w:r w:rsidRPr="00CA7EFA">
        <w:rPr>
          <w:rFonts w:ascii="Monaco" w:hAnsi="Monaco" w:cs="Monaco"/>
          <w:lang w:val="en-GB"/>
        </w:rPr>
        <w:t>‑</w:t>
      </w:r>
      <w:r w:rsidRPr="00CA7EFA">
        <w:rPr>
          <w:lang w:val="en-GB"/>
        </w:rPr>
        <w:t>home allowances?</w:t>
      </w:r>
    </w:p>
    <w:p w14:paraId="05F5C0E7" w14:textId="77777777" w:rsidR="00B4514E" w:rsidRPr="00CA7EFA" w:rsidRDefault="00B4514E" w:rsidP="001A29EC">
      <w:pPr>
        <w:pStyle w:val="ListParagraph"/>
        <w:numPr>
          <w:ilvl w:val="0"/>
          <w:numId w:val="1"/>
        </w:numPr>
        <w:rPr>
          <w:lang w:val="en-GB"/>
        </w:rPr>
      </w:pPr>
      <w:r w:rsidRPr="00CA7EFA">
        <w:rPr>
          <w:lang w:val="en-GB"/>
        </w:rPr>
        <w:t>Does your business provide entertainment by way of food, drink or recreation to employees?</w:t>
      </w:r>
    </w:p>
    <w:p w14:paraId="3FF61C8F" w14:textId="77777777" w:rsidR="00B4514E" w:rsidRPr="00CA7EFA" w:rsidRDefault="00B4514E" w:rsidP="001A29EC">
      <w:pPr>
        <w:pStyle w:val="ListParagraph"/>
        <w:numPr>
          <w:ilvl w:val="0"/>
          <w:numId w:val="1"/>
        </w:numPr>
        <w:rPr>
          <w:lang w:val="en-GB"/>
        </w:rPr>
      </w:pPr>
      <w:r w:rsidRPr="00CA7EFA">
        <w:rPr>
          <w:lang w:val="en-GB"/>
        </w:rPr>
        <w:t>Do any employees have a salary package (salary sacrifice) arrangement in place?</w:t>
      </w:r>
    </w:p>
    <w:p w14:paraId="5FB26E18" w14:textId="77777777" w:rsidR="00B4514E" w:rsidRPr="00CA7EFA" w:rsidRDefault="00B4514E" w:rsidP="001A29EC">
      <w:pPr>
        <w:pStyle w:val="ListParagraph"/>
        <w:numPr>
          <w:ilvl w:val="0"/>
          <w:numId w:val="1"/>
        </w:numPr>
        <w:rPr>
          <w:lang w:val="en-GB"/>
        </w:rPr>
      </w:pPr>
      <w:r w:rsidRPr="00CA7EFA">
        <w:rPr>
          <w:lang w:val="en-GB"/>
        </w:rPr>
        <w:t>Has your business provided employees with goods at a lower price than they are normally sold to the public?</w:t>
      </w:r>
    </w:p>
    <w:p w14:paraId="5B3667E2" w14:textId="77777777" w:rsidR="00B4514E" w:rsidRPr="00CA7EFA" w:rsidRDefault="00B4514E" w:rsidP="00B4514E">
      <w:pPr>
        <w:rPr>
          <w:lang w:val="en-GB"/>
        </w:rPr>
      </w:pPr>
    </w:p>
    <w:p w14:paraId="513C28C9" w14:textId="77777777" w:rsidR="00B4514E" w:rsidRPr="00CA7EFA" w:rsidRDefault="00B4514E" w:rsidP="00B4514E">
      <w:pPr>
        <w:rPr>
          <w:b/>
          <w:sz w:val="28"/>
          <w:szCs w:val="28"/>
          <w:lang w:val="en-GB"/>
        </w:rPr>
      </w:pPr>
      <w:r w:rsidRPr="00CA7EFA">
        <w:rPr>
          <w:b/>
          <w:sz w:val="28"/>
          <w:szCs w:val="28"/>
          <w:lang w:val="en-GB"/>
        </w:rPr>
        <w:t>What is exempt from FBT?</w:t>
      </w:r>
    </w:p>
    <w:p w14:paraId="0BF57F24" w14:textId="77777777" w:rsidR="00B4514E" w:rsidRPr="00CA7EFA" w:rsidRDefault="00B4514E" w:rsidP="00B4514E">
      <w:pPr>
        <w:rPr>
          <w:lang w:val="en-GB"/>
        </w:rPr>
      </w:pPr>
      <w:r w:rsidRPr="00CA7EFA">
        <w:rPr>
          <w:lang w:val="en-GB"/>
        </w:rPr>
        <w:t>Certain benefits are excluded from the scope of the FBT rules. The following work related items are exempt from FBT if they are provided primarily for use in the employee’s employment:</w:t>
      </w:r>
    </w:p>
    <w:p w14:paraId="641B2C91" w14:textId="77777777" w:rsidR="00B4514E" w:rsidRPr="00CA7EFA" w:rsidRDefault="00B4514E" w:rsidP="00B4514E">
      <w:pPr>
        <w:rPr>
          <w:lang w:val="en-GB"/>
        </w:rPr>
      </w:pPr>
    </w:p>
    <w:p w14:paraId="0189A221" w14:textId="77777777" w:rsidR="00B4514E" w:rsidRPr="00CA7EFA" w:rsidRDefault="00B4514E" w:rsidP="001A29EC">
      <w:pPr>
        <w:pStyle w:val="ListParagraph"/>
        <w:numPr>
          <w:ilvl w:val="0"/>
          <w:numId w:val="2"/>
        </w:numPr>
        <w:rPr>
          <w:lang w:val="en-GB"/>
        </w:rPr>
      </w:pPr>
      <w:r w:rsidRPr="00CA7EFA">
        <w:rPr>
          <w:lang w:val="en-GB"/>
        </w:rPr>
        <w:t xml:space="preserve">Portable electronic devices (e.g. laptop, tablet, mobile, PDA, electronic diary, notebook computer, GPS navigation device) that are provided primarily for use in the employee’s employment (limited to the purchase or reimbursement of one </w:t>
      </w:r>
      <w:r w:rsidR="00882C0E">
        <w:rPr>
          <w:lang w:val="en-GB"/>
        </w:rPr>
        <w:t xml:space="preserve">identical or similar </w:t>
      </w:r>
      <w:r w:rsidRPr="00CA7EFA">
        <w:rPr>
          <w:lang w:val="en-GB"/>
        </w:rPr>
        <w:t>portable electronic device for each employee per FBT year</w:t>
      </w:r>
      <w:r w:rsidR="001A29EC" w:rsidRPr="00CA7EFA">
        <w:rPr>
          <w:lang w:val="en-GB"/>
        </w:rPr>
        <w:t xml:space="preserve">.  Small business employers will be able to provide more than one </w:t>
      </w:r>
      <w:r w:rsidR="00882C0E">
        <w:rPr>
          <w:lang w:val="en-GB"/>
        </w:rPr>
        <w:t xml:space="preserve">identical or similar </w:t>
      </w:r>
      <w:r w:rsidR="001A29EC" w:rsidRPr="00CA7EFA">
        <w:rPr>
          <w:lang w:val="en-GB"/>
        </w:rPr>
        <w:t xml:space="preserve">device to employees from 1 </w:t>
      </w:r>
      <w:r w:rsidR="00882C0E">
        <w:rPr>
          <w:lang w:val="en-GB"/>
        </w:rPr>
        <w:t xml:space="preserve">April </w:t>
      </w:r>
      <w:r w:rsidR="001A29EC" w:rsidRPr="00CA7EFA">
        <w:rPr>
          <w:lang w:val="en-GB"/>
        </w:rPr>
        <w:t>2016</w:t>
      </w:r>
      <w:r w:rsidRPr="00CA7EFA">
        <w:rPr>
          <w:lang w:val="en-GB"/>
        </w:rPr>
        <w:t>;</w:t>
      </w:r>
    </w:p>
    <w:p w14:paraId="181D6B3C" w14:textId="77777777" w:rsidR="00B4514E" w:rsidRPr="00CA7EFA" w:rsidRDefault="00B4514E" w:rsidP="001A29EC">
      <w:pPr>
        <w:pStyle w:val="ListParagraph"/>
        <w:numPr>
          <w:ilvl w:val="0"/>
          <w:numId w:val="2"/>
        </w:numPr>
        <w:rPr>
          <w:lang w:val="en-GB"/>
        </w:rPr>
      </w:pPr>
      <w:r w:rsidRPr="00CA7EFA">
        <w:rPr>
          <w:lang w:val="en-GB"/>
        </w:rPr>
        <w:t>An item of computer software;</w:t>
      </w:r>
    </w:p>
    <w:p w14:paraId="3BA7ACD2" w14:textId="77777777" w:rsidR="00B4514E" w:rsidRPr="00CA7EFA" w:rsidRDefault="00B4514E" w:rsidP="001A29EC">
      <w:pPr>
        <w:pStyle w:val="ListParagraph"/>
        <w:numPr>
          <w:ilvl w:val="0"/>
          <w:numId w:val="2"/>
        </w:numPr>
        <w:rPr>
          <w:lang w:val="en-GB"/>
        </w:rPr>
      </w:pPr>
      <w:r w:rsidRPr="00CA7EFA">
        <w:rPr>
          <w:lang w:val="en-GB"/>
        </w:rPr>
        <w:t>Protective clothing required for the employee’s job;</w:t>
      </w:r>
    </w:p>
    <w:p w14:paraId="2A9DD955" w14:textId="77777777" w:rsidR="00B4514E" w:rsidRPr="00CA7EFA" w:rsidRDefault="00B4514E" w:rsidP="001A29EC">
      <w:pPr>
        <w:pStyle w:val="ListParagraph"/>
        <w:numPr>
          <w:ilvl w:val="0"/>
          <w:numId w:val="2"/>
        </w:numPr>
        <w:rPr>
          <w:lang w:val="en-GB"/>
        </w:rPr>
      </w:pPr>
      <w:r w:rsidRPr="00CA7EFA">
        <w:rPr>
          <w:lang w:val="en-GB"/>
        </w:rPr>
        <w:t>A briefcase;</w:t>
      </w:r>
    </w:p>
    <w:p w14:paraId="04A7565E" w14:textId="77777777" w:rsidR="00B4514E" w:rsidRPr="00CA7EFA" w:rsidRDefault="00B4514E" w:rsidP="001A29EC">
      <w:pPr>
        <w:pStyle w:val="ListParagraph"/>
        <w:numPr>
          <w:ilvl w:val="0"/>
          <w:numId w:val="2"/>
        </w:numPr>
        <w:rPr>
          <w:lang w:val="en-GB"/>
        </w:rPr>
      </w:pPr>
      <w:r w:rsidRPr="00CA7EFA">
        <w:rPr>
          <w:lang w:val="en-GB"/>
        </w:rPr>
        <w:t>A calculator;</w:t>
      </w:r>
    </w:p>
    <w:p w14:paraId="22A90860" w14:textId="77777777" w:rsidR="00B4514E" w:rsidRPr="00CA7EFA" w:rsidRDefault="00B4514E" w:rsidP="001A29EC">
      <w:pPr>
        <w:pStyle w:val="ListParagraph"/>
        <w:numPr>
          <w:ilvl w:val="0"/>
          <w:numId w:val="2"/>
        </w:numPr>
        <w:rPr>
          <w:lang w:val="en-GB"/>
        </w:rPr>
      </w:pPr>
      <w:r w:rsidRPr="00CA7EFA">
        <w:rPr>
          <w:lang w:val="en-GB"/>
        </w:rPr>
        <w:t>A tool of trade.</w:t>
      </w:r>
    </w:p>
    <w:p w14:paraId="49B31581" w14:textId="77777777" w:rsidR="00AA5C30" w:rsidRPr="00CA7EFA" w:rsidRDefault="00AA5C30" w:rsidP="00B4514E">
      <w:pPr>
        <w:rPr>
          <w:lang w:val="en-GB"/>
        </w:rPr>
      </w:pPr>
    </w:p>
    <w:sectPr w:rsidR="00AA5C30" w:rsidRPr="00CA7EFA" w:rsidSect="00365A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FF3"/>
    <w:multiLevelType w:val="hybridMultilevel"/>
    <w:tmpl w:val="6FF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A591C"/>
    <w:multiLevelType w:val="hybridMultilevel"/>
    <w:tmpl w:val="7F6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4E"/>
    <w:rsid w:val="00042022"/>
    <w:rsid w:val="001A29EC"/>
    <w:rsid w:val="002071DA"/>
    <w:rsid w:val="002124BB"/>
    <w:rsid w:val="00247C48"/>
    <w:rsid w:val="00257F28"/>
    <w:rsid w:val="00264F80"/>
    <w:rsid w:val="002E2723"/>
    <w:rsid w:val="00306FFE"/>
    <w:rsid w:val="0032375D"/>
    <w:rsid w:val="00365A0A"/>
    <w:rsid w:val="003C7665"/>
    <w:rsid w:val="003D07F7"/>
    <w:rsid w:val="003F0C80"/>
    <w:rsid w:val="00425881"/>
    <w:rsid w:val="00465D61"/>
    <w:rsid w:val="00483FDA"/>
    <w:rsid w:val="004E0B19"/>
    <w:rsid w:val="00572B94"/>
    <w:rsid w:val="00585E38"/>
    <w:rsid w:val="005D2B98"/>
    <w:rsid w:val="00602341"/>
    <w:rsid w:val="00677EC7"/>
    <w:rsid w:val="0068626B"/>
    <w:rsid w:val="00697FA2"/>
    <w:rsid w:val="006B18BF"/>
    <w:rsid w:val="006C78B7"/>
    <w:rsid w:val="00725191"/>
    <w:rsid w:val="007E210C"/>
    <w:rsid w:val="007E311E"/>
    <w:rsid w:val="008301B2"/>
    <w:rsid w:val="00882C0E"/>
    <w:rsid w:val="008E0601"/>
    <w:rsid w:val="009115FE"/>
    <w:rsid w:val="009459F3"/>
    <w:rsid w:val="009A0425"/>
    <w:rsid w:val="009A5BC4"/>
    <w:rsid w:val="009A6B06"/>
    <w:rsid w:val="009E2474"/>
    <w:rsid w:val="00A07C3D"/>
    <w:rsid w:val="00A2016D"/>
    <w:rsid w:val="00A651DC"/>
    <w:rsid w:val="00A92B57"/>
    <w:rsid w:val="00AA5C30"/>
    <w:rsid w:val="00AD5B8D"/>
    <w:rsid w:val="00B13638"/>
    <w:rsid w:val="00B300A9"/>
    <w:rsid w:val="00B4514E"/>
    <w:rsid w:val="00B810D3"/>
    <w:rsid w:val="00B90868"/>
    <w:rsid w:val="00BA10BE"/>
    <w:rsid w:val="00C3626B"/>
    <w:rsid w:val="00C66A0F"/>
    <w:rsid w:val="00CA7EFA"/>
    <w:rsid w:val="00D2492A"/>
    <w:rsid w:val="00D3407C"/>
    <w:rsid w:val="00D40890"/>
    <w:rsid w:val="00D56455"/>
    <w:rsid w:val="00DA4675"/>
    <w:rsid w:val="00DA5A6E"/>
    <w:rsid w:val="00DC2911"/>
    <w:rsid w:val="00E03E34"/>
    <w:rsid w:val="00EB0A31"/>
    <w:rsid w:val="00EF2140"/>
    <w:rsid w:val="00F1260E"/>
    <w:rsid w:val="00F2379A"/>
    <w:rsid w:val="00F2478B"/>
    <w:rsid w:val="00F417EA"/>
    <w:rsid w:val="00F50FA1"/>
    <w:rsid w:val="00F527BB"/>
    <w:rsid w:val="00FB7763"/>
    <w:rsid w:val="00FC77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D5229"/>
  <w15:docId w15:val="{0DE3DBB8-EC0D-48E1-9255-52F60B5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A9"/>
    <w:pPr>
      <w:spacing w:line="288" w:lineRule="auto"/>
    </w:pPr>
    <w:rPr>
      <w:rFonts w:ascii="Calibri" w:hAnsi="Calibr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EC"/>
    <w:pPr>
      <w:ind w:left="720"/>
      <w:contextualSpacing/>
    </w:pPr>
  </w:style>
  <w:style w:type="paragraph" w:styleId="BalloonText">
    <w:name w:val="Balloon Text"/>
    <w:basedOn w:val="Normal"/>
    <w:link w:val="BalloonTextChar"/>
    <w:uiPriority w:val="99"/>
    <w:semiHidden/>
    <w:unhideWhenUsed/>
    <w:rsid w:val="00F50FA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FA1"/>
    <w:rPr>
      <w:rFonts w:ascii="Lucida Grande" w:hAnsi="Lucida Grande"/>
      <w:sz w:val="18"/>
      <w:szCs w:val="18"/>
    </w:rPr>
  </w:style>
  <w:style w:type="character" w:styleId="CommentReference">
    <w:name w:val="annotation reference"/>
    <w:basedOn w:val="DefaultParagraphFont"/>
    <w:uiPriority w:val="99"/>
    <w:semiHidden/>
    <w:unhideWhenUsed/>
    <w:rsid w:val="00D2492A"/>
    <w:rPr>
      <w:sz w:val="16"/>
      <w:szCs w:val="16"/>
    </w:rPr>
  </w:style>
  <w:style w:type="paragraph" w:styleId="CommentText">
    <w:name w:val="annotation text"/>
    <w:basedOn w:val="Normal"/>
    <w:link w:val="CommentTextChar"/>
    <w:uiPriority w:val="99"/>
    <w:semiHidden/>
    <w:unhideWhenUsed/>
    <w:rsid w:val="00D2492A"/>
    <w:pPr>
      <w:spacing w:line="240" w:lineRule="auto"/>
    </w:pPr>
    <w:rPr>
      <w:sz w:val="20"/>
      <w:szCs w:val="20"/>
    </w:rPr>
  </w:style>
  <w:style w:type="character" w:customStyle="1" w:styleId="CommentTextChar">
    <w:name w:val="Comment Text Char"/>
    <w:basedOn w:val="DefaultParagraphFont"/>
    <w:link w:val="CommentText"/>
    <w:uiPriority w:val="99"/>
    <w:semiHidden/>
    <w:rsid w:val="00D2492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2492A"/>
    <w:rPr>
      <w:b/>
      <w:bCs/>
    </w:rPr>
  </w:style>
  <w:style w:type="character" w:customStyle="1" w:styleId="CommentSubjectChar">
    <w:name w:val="Comment Subject Char"/>
    <w:basedOn w:val="CommentTextChar"/>
    <w:link w:val="CommentSubject"/>
    <w:uiPriority w:val="99"/>
    <w:semiHidden/>
    <w:rsid w:val="00D2492A"/>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Article FBT 2016</vt:lpstr>
    </vt:vector>
  </TitlesOfParts>
  <Company>Knowledge Shop</Company>
  <LinksUpToDate>false</LinksUpToDate>
  <CharactersWithSpaces>10074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FBT 2016</dc:title>
  <dc:creator>Knowledge Shop</dc:creator>
  <cp:lastModifiedBy>SYSTEM</cp:lastModifiedBy>
  <cp:revision>2</cp:revision>
  <cp:lastPrinted>2016-03-29T02:33:00Z</cp:lastPrinted>
  <dcterms:created xsi:type="dcterms:W3CDTF">2016-03-29T22:20:00Z</dcterms:created>
  <dcterms:modified xsi:type="dcterms:W3CDTF">2016-03-29T22:20:00Z</dcterms:modified>
</cp:coreProperties>
</file>